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F5E51" w14:textId="71520DE8" w:rsidR="003E0A11" w:rsidRDefault="003E0A11" w:rsidP="003E0A11">
      <w:pPr>
        <w:rPr>
          <w:rFonts w:hint="eastAsia"/>
        </w:rPr>
      </w:pPr>
      <w:r>
        <w:rPr>
          <w:rFonts w:hint="eastAsia"/>
        </w:rPr>
        <w:t>假设</w:t>
      </w:r>
    </w:p>
    <w:p w14:paraId="676DD686" w14:textId="7BC00791" w:rsidR="0033666B" w:rsidRDefault="003E0A11" w:rsidP="003E0A11">
      <w:r>
        <w:rPr>
          <w:rFonts w:hint="eastAsia"/>
        </w:rPr>
        <w:t>The annual number of rocket launches is constrained by infrastructure capacity, manufacturing throughput, regulatory limits, and operational resources; therefore, a long-term saturation level exists.</w:t>
      </w:r>
      <w:r>
        <w:rPr>
          <w:rFonts w:hint="eastAsia"/>
        </w:rPr>
        <w:t xml:space="preserve"> </w:t>
      </w:r>
      <w:r>
        <w:rPr>
          <w:rFonts w:hint="eastAsia"/>
        </w:rPr>
        <w:t>Early expansion of launch frequency is driven by scale-up and process learning and is approximately exponential, while growth slows as the system approaches capacity limits, resulting in an S-shaped growth pattern.</w:t>
      </w:r>
      <w:r>
        <w:rPr>
          <w:rFonts w:hint="eastAsia"/>
        </w:rPr>
        <w:t xml:space="preserve"> </w:t>
      </w:r>
      <w:r>
        <w:rPr>
          <w:rFonts w:hint="eastAsia"/>
        </w:rPr>
        <w:t xml:space="preserve">Multiple drivers of launch growth (reusability, production ramp-up, launch site expansion, and operational efficiency) are captured by a single effective growth rate parameter </w:t>
      </w:r>
      <w:r>
        <w:rPr>
          <w:rFonts w:ascii="Cambria Math" w:hAnsi="Cambria Math" w:cs="Cambria Math"/>
        </w:rPr>
        <w:t>𝑟</w:t>
      </w:r>
      <w:r>
        <w:rPr>
          <w:rFonts w:ascii="Cambria Math" w:hAnsi="Cambria Math" w:cs="Cambria Math" w:hint="eastAsia"/>
        </w:rPr>
        <w:t xml:space="preserve">. </w:t>
      </w:r>
      <w:r>
        <w:rPr>
          <w:rFonts w:hint="eastAsia"/>
        </w:rPr>
        <w:t>The model operates on a yearly time scale and represents long-term expected launch activity, ignoring short-term scheduling fluctuations.</w:t>
      </w:r>
    </w:p>
    <w:p w14:paraId="52B38E80" w14:textId="627EF4E4" w:rsidR="003E0A11" w:rsidRDefault="003E0A11" w:rsidP="003E0A11">
      <w:r>
        <w:rPr>
          <w:rFonts w:hint="eastAsia"/>
        </w:rPr>
        <w:t>公式</w:t>
      </w:r>
    </w:p>
    <w:p w14:paraId="41EC5547" w14:textId="4A3837EF" w:rsidR="003E0A11" w:rsidRDefault="003E0A11" w:rsidP="00383BD7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6ADBDF3" wp14:editId="5C72F11D">
            <wp:extent cx="3000375" cy="662940"/>
            <wp:effectExtent l="0" t="0" r="9525" b="3810"/>
            <wp:docPr id="1725262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26239" name=""/>
                    <pic:cNvPicPr/>
                  </pic:nvPicPr>
                  <pic:blipFill rotWithShape="1">
                    <a:blip r:embed="rId6"/>
                    <a:srcRect b="59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375" cy="662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D48DD3" w14:textId="741192DA" w:rsidR="00383BD7" w:rsidRDefault="00383BD7" w:rsidP="00383BD7">
      <w:pPr>
        <w:rPr>
          <w:rFonts w:hint="eastAsia"/>
        </w:rPr>
      </w:pPr>
      <w:r>
        <w:rPr>
          <w:rFonts w:hint="eastAsia"/>
        </w:rPr>
        <w:t>N(t)：从起始年</w:t>
      </w:r>
      <w:r>
        <w:rPr>
          <w:rFonts w:ascii="Cambria Math" w:hAnsi="Cambria Math" w:cs="Cambria Math"/>
        </w:rPr>
        <w:t>𝑡</w:t>
      </w:r>
      <w:r>
        <w:rPr>
          <w:rFonts w:hint="eastAsia"/>
        </w:rPr>
        <w:t>0</w:t>
      </w:r>
      <w:r>
        <w:rPr>
          <w:rFonts w:hint="eastAsia"/>
        </w:rPr>
        <w:t>起累计到</w:t>
      </w:r>
      <w:r>
        <w:rPr>
          <w:rFonts w:ascii="Cambria Math" w:hAnsi="Cambria Math" w:cs="Cambria Math"/>
        </w:rPr>
        <w:t>𝑡</w:t>
      </w:r>
      <w:r>
        <w:rPr>
          <w:rFonts w:hint="eastAsia"/>
        </w:rPr>
        <w:t>的发射总次数</w:t>
      </w:r>
    </w:p>
    <w:p w14:paraId="32C4DAB3" w14:textId="499D055C" w:rsidR="00383BD7" w:rsidRDefault="00383BD7" w:rsidP="00383BD7">
      <w:pPr>
        <w:rPr>
          <w:rFonts w:hint="eastAsia"/>
        </w:rPr>
      </w:pPr>
      <w:proofErr w:type="spellStart"/>
      <w:r>
        <w:rPr>
          <w:rFonts w:hint="eastAsia"/>
        </w:rPr>
        <w:t>d</w:t>
      </w:r>
      <w:r>
        <w:rPr>
          <w:rFonts w:hint="eastAsia"/>
        </w:rPr>
        <w:t>N</w:t>
      </w:r>
      <w:proofErr w:type="spellEnd"/>
      <w:r>
        <w:rPr>
          <w:rFonts w:hint="eastAsia"/>
        </w:rPr>
        <w:t>(t)</w:t>
      </w:r>
      <w:r>
        <w:rPr>
          <w:rFonts w:hint="eastAsia"/>
        </w:rPr>
        <w:t>/dt：</w:t>
      </w:r>
      <w:r>
        <w:rPr>
          <w:rFonts w:hint="eastAsia"/>
        </w:rPr>
        <w:t>年发射率</w:t>
      </w:r>
    </w:p>
    <w:p w14:paraId="3146535A" w14:textId="049E5BE6" w:rsidR="00383BD7" w:rsidRDefault="00383BD7" w:rsidP="00383BD7">
      <w:pPr>
        <w:rPr>
          <w:rFonts w:hint="eastAsia"/>
        </w:rPr>
      </w:pPr>
      <w:r>
        <w:rPr>
          <w:rFonts w:ascii="Cambria Math" w:hAnsi="Cambria Math" w:cs="Cambria Math"/>
        </w:rPr>
        <w:t>𝐾</w:t>
      </w:r>
      <w:r>
        <w:rPr>
          <w:rFonts w:hint="eastAsia"/>
        </w:rPr>
        <w:t>：长期饱和的累计发射上界</w:t>
      </w:r>
    </w:p>
    <w:p w14:paraId="794DAA7A" w14:textId="3708F22B" w:rsidR="00383BD7" w:rsidRDefault="00383BD7" w:rsidP="00383BD7">
      <w:pPr>
        <w:rPr>
          <w:rFonts w:hint="eastAsia"/>
        </w:rPr>
      </w:pPr>
      <w:r>
        <w:rPr>
          <w:rFonts w:ascii="Cambria Math" w:hAnsi="Cambria Math" w:cs="Cambria Math"/>
        </w:rPr>
        <w:t>𝑟</w:t>
      </w:r>
      <w:r>
        <w:rPr>
          <w:rFonts w:hint="eastAsia"/>
        </w:rPr>
        <w:t>：增长率</w:t>
      </w:r>
    </w:p>
    <w:p w14:paraId="2E12D091" w14:textId="77777777" w:rsidR="00383BD7" w:rsidRDefault="00383BD7" w:rsidP="003E0A11">
      <w:r>
        <w:rPr>
          <w:rFonts w:hint="eastAsia"/>
        </w:rPr>
        <w:t>推导得</w:t>
      </w:r>
    </w:p>
    <w:p w14:paraId="559C748D" w14:textId="65C94176" w:rsidR="00383BD7" w:rsidRDefault="00383BD7" w:rsidP="002E4EC6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5F4EF0C" wp14:editId="5083A149">
            <wp:extent cx="3857625" cy="581025"/>
            <wp:effectExtent l="0" t="0" r="9525" b="9525"/>
            <wp:docPr id="4223621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3621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3BD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A16596" w14:textId="77777777" w:rsidR="00140221" w:rsidRDefault="00140221" w:rsidP="003E0A1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28D3310" w14:textId="77777777" w:rsidR="00140221" w:rsidRDefault="00140221" w:rsidP="003E0A1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E8333F" w14:textId="77777777" w:rsidR="00140221" w:rsidRDefault="00140221" w:rsidP="003E0A1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122F37E" w14:textId="77777777" w:rsidR="00140221" w:rsidRDefault="00140221" w:rsidP="003E0A1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66B"/>
    <w:rsid w:val="00140221"/>
    <w:rsid w:val="002E4EC6"/>
    <w:rsid w:val="0033666B"/>
    <w:rsid w:val="00383BD7"/>
    <w:rsid w:val="003E0A11"/>
    <w:rsid w:val="00867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9A344F"/>
  <w15:chartTrackingRefBased/>
  <w15:docId w15:val="{796E8446-24EC-4F58-99C2-B098D0C49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3666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66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666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666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666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666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666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666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666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3666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366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366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3666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3666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3666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3666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3666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3666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3666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366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666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3666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366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3666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666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3666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366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3666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3666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E0A1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E0A1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E0A1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E0A1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120</Words>
  <Characters>688</Characters>
  <Application>Microsoft Office Word</Application>
  <DocSecurity>0</DocSecurity>
  <Lines>5</Lines>
  <Paragraphs>1</Paragraphs>
  <ScaleCrop>false</ScaleCrop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鹏皓 孙</dc:creator>
  <cp:keywords/>
  <dc:description/>
  <cp:lastModifiedBy>鹏皓 孙</cp:lastModifiedBy>
  <cp:revision>2</cp:revision>
  <dcterms:created xsi:type="dcterms:W3CDTF">2026-01-30T03:18:00Z</dcterms:created>
  <dcterms:modified xsi:type="dcterms:W3CDTF">2026-01-30T04:01:00Z</dcterms:modified>
</cp:coreProperties>
</file>