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Bank Account Plan</w:t>
      </w:r>
    </w:p>
    <w:p>
      <w:r>
        <w:t>Prepared by the enterprise accounts team.</w:t>
      </w:r>
    </w:p>
    <w:p>
      <w:pPr>
        <w:pStyle w:val="Heading2"/>
      </w:pPr>
      <w:r>
        <w:t>Objectives</w:t>
      </w:r>
    </w:p>
    <w:p>
      <w:pPr>
        <w:pStyle w:val="ListBullet"/>
      </w:pPr>
      <w:r>
        <w:t>Expand the hybrid cloud footprint</w:t>
      </w:r>
    </w:p>
    <w:p>
      <w:pPr>
        <w:pStyle w:val="ListBullet"/>
      </w:pPr>
      <w:r>
        <w:t>Renew mainframe support through FY28</w:t>
      </w:r>
    </w:p>
    <w:p>
      <w:r>
        <w:t xml:space="preserve">Total contract value: </w:t>
      </w:r>
      <w:r>
        <w:rPr>
          <w:b/>
        </w:rPr>
        <w:t>$4.2M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$1.1M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$1.4M</w:t>
            </w:r>
          </w:p>
        </w:tc>
        <w:tc>
          <w:tcPr>
            <w:tcW w:type="dxa" w:w="2880"/>
          </w:tcPr>
          <w:p>
            <w:r>
              <w:t>At risk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