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GUIDE OPÉRATIONNEL — GESTION DE LA CAPACITÉ TECHNIQUE</w:t>
      </w:r>
    </w:p>
    <w:p>
      <w:pPr>
        <w:spacing w:after="400"/>
        <w:jc w:val="center"/>
      </w:pPr>
      <w:r>
        <w:rPr>
          <w:i/>
          <w:iCs/>
          <w:sz w:val="22"/>
          <w:szCs w:val="22"/>
        </w:rPr>
        <w:t xml:space="preserve">Déclinaison locale du processus Groupe (Global Capacity Management)</w:t>
      </w:r>
    </w:p>
    <w:p>
      <w:pPr>
        <w:pStyle w:val="Heading1"/>
        <w:spacing w:after="200" w:before="400"/>
      </w:pPr>
      <w:r>
        <w:t xml:space="preserve">Périmètre du présent guide</w:t>
      </w:r>
    </w:p>
    <w:p>
      <w:pPr>
        <w:spacing w:after="150"/>
      </w:pPr>
      <w:r>
        <w:t xml:space="preserve">Ce guide décline localement, pour l'entité, le processus de gestion de la capacité défini au niveau Groupe par le Global Capacity Management. Il couvre à ce jour le périmètre suivant : infrastructure hébergée chez un fournisseur cloud unique (hyperscaler). La gestion d'un datacenter en propre n'est pas encore couverte par ce guide ; ce périmètre sera étendu lorsque ce mode d'hébergement sera intégré au dispositif.</w:t>
      </w:r>
    </w:p>
    <w:p>
      <w:pPr>
        <w:spacing w:after="150"/>
      </w:pPr>
      <w:r>
        <w:t xml:space="preserve">Le guide est structuré en un premier volet consacré à la prévision du plan de capacité à moyen et long terme, décomposé en quatre chapitres : (1) Définir et mettre à jour le plan de capacité, (2) Valider le plan de capacité, (3) Déployer le plan de capacité, (4) Reporting.</w:t>
      </w:r>
    </w:p>
    <w:p>
      <w:pPr>
        <w:pStyle w:val="Heading1"/>
        <w:spacing w:after="200" w:before="400"/>
      </w:pPr>
      <w:r>
        <w:t xml:space="preserve">VOLET 1 — Prévision du plan de capacité (moyen et long terme)</w:t>
      </w:r>
    </w:p>
    <w:p>
      <w:pPr>
        <w:pStyle w:val="Heading2"/>
        <w:spacing w:after="150" w:before="300"/>
      </w:pPr>
      <w:r>
        <w:t xml:space="preserve">Chapitre 1 — Définir et mettre à jour le plan de capacité</w:t>
      </w:r>
    </w:p>
    <w:p>
      <w:pPr>
        <w:pStyle w:val="Heading3"/>
        <w:spacing w:after="100" w:before="200"/>
      </w:pPr>
      <w:r>
        <w:t xml:space="preserve">1.1 Objectif</w:t>
      </w:r>
    </w:p>
    <w:p>
      <w:pPr>
        <w:spacing w:after="150"/>
      </w:pPr>
      <w:r>
        <w:t xml:space="preserve">Recueillir les besoins d'évolution de capacité auprès des équipes de production, formaliser les hypothèses de croissance pour les années N et N+1, et préparer leur validation, en cohérence avec le calendrier de collecte du Global Capacity Management.</w:t>
      </w:r>
    </w:p>
    <w:p>
      <w:pPr>
        <w:pStyle w:val="Heading3"/>
        <w:spacing w:after="100" w:before="200"/>
      </w:pPr>
      <w:r>
        <w:t xml:space="preserve">1.2 Déclencheur</w:t>
      </w:r>
    </w:p>
    <w:p>
      <w:pPr>
        <w:spacing w:after="150"/>
      </w:pPr>
      <w:r>
        <w:t xml:space="preserve">La mise à jour du plan de capacité local s'aligne sur le calendrier des plénières de collecte organisées par le Global Capacity Management :</w:t>
      </w:r>
    </w:p>
    <w:p>
      <w:pPr>
        <w:pStyle w:val="ListParagraph"/>
        <w:numPr>
          <w:ilvl w:val="0"/>
          <w:numId w:val="1"/>
        </w:numPr>
        <w:spacing w:after="80"/>
      </w:pPr>
      <w:r>
        <w:t xml:space="preserve">Collecte T2 — plénière généralement en décembre de l'année N-1</w:t>
      </w:r>
    </w:p>
    <w:p>
      <w:pPr>
        <w:pStyle w:val="ListParagraph"/>
        <w:numPr>
          <w:ilvl w:val="0"/>
          <w:numId w:val="1"/>
        </w:numPr>
        <w:spacing w:after="80"/>
      </w:pPr>
      <w:r>
        <w:t xml:space="preserve">Collecte T3 — plénière généralement en mars de l'année N</w:t>
      </w:r>
    </w:p>
    <w:p>
      <w:pPr>
        <w:spacing w:after="150"/>
      </w:pPr>
      <w:r>
        <w:t xml:space="preserve">Chaque plénière déclenche un cycle local de recueil, de formalisation et de validation des hypothèses.</w:t>
      </w:r>
    </w:p>
    <w:p>
      <w:pPr>
        <w:pStyle w:val="Heading3"/>
        <w:spacing w:after="100" w:before="200"/>
      </w:pPr>
      <w:r>
        <w:t xml:space="preserve">1.3 Acteurs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2400"/>
            <w:shd w:fill="F2F2F2" w:color="auto" w:val="clear"/>
          </w:tcPr>
          <w:p>
            <w:r>
              <w:rPr>
                <w:b/>
                <w:bCs/>
                <w:sz w:val="21"/>
                <w:szCs w:val="21"/>
              </w:rPr>
              <w:t xml:space="preserve">Global Capacity Management</w:t>
            </w:r>
          </w:p>
        </w:tc>
        <w:tc>
          <w:tcPr>
            <w:tcW w:type="dxa" w:w="7800"/>
          </w:tcPr>
          <w:p>
            <w:r>
              <w:rPr>
                <w:sz w:val="21"/>
                <w:szCs w:val="21"/>
              </w:rPr>
              <w:t xml:space="preserve">Fixe le calendrier des collectes groupe et le cadre de reporting associé.</w:t>
            </w:r>
          </w:p>
        </w:tc>
      </w:tr>
      <w:tr>
        <w:tc>
          <w:tcPr>
            <w:tcW w:type="dxa" w:w="2400"/>
            <w:shd w:fill="F2F2F2" w:color="auto" w:val="clear"/>
          </w:tcPr>
          <w:p>
            <w:r>
              <w:rPr>
                <w:b/>
                <w:bCs/>
                <w:sz w:val="21"/>
                <w:szCs w:val="21"/>
              </w:rPr>
              <w:t xml:space="preserve">FinOps local</w:t>
            </w:r>
          </w:p>
        </w:tc>
        <w:tc>
          <w:tcPr>
            <w:tcW w:type="dxa" w:w="7800"/>
          </w:tcPr>
          <w:p>
            <w:r>
              <w:rPr>
                <w:sz w:val="21"/>
                <w:szCs w:val="21"/>
              </w:rPr>
              <w:t xml:space="preserve">Pilote le cycle local : organise le recueil des besoins, rédige les hypothèses, prépare les simulations de coût et anime la validation.</w:t>
            </w:r>
          </w:p>
        </w:tc>
      </w:tr>
      <w:tr>
        <w:tc>
          <w:tcPr>
            <w:tcW w:type="dxa" w:w="2400"/>
            <w:shd w:fill="F2F2F2" w:color="auto" w:val="clear"/>
          </w:tcPr>
          <w:p>
            <w:r>
              <w:rPr>
                <w:b/>
                <w:bCs/>
                <w:sz w:val="21"/>
                <w:szCs w:val="21"/>
              </w:rPr>
              <w:t xml:space="preserve">Référents APS (production)</w:t>
            </w:r>
          </w:p>
        </w:tc>
        <w:tc>
          <w:tcPr>
            <w:tcW w:type="dxa" w:w="7800"/>
          </w:tcPr>
          <w:p>
            <w:r>
              <w:rPr>
                <w:sz w:val="21"/>
                <w:szCs w:val="21"/>
              </w:rPr>
              <w:t xml:space="preserve">Expriment les besoins d'évolution par domaine/application et valident les hypothèses les concernant.</w:t>
            </w:r>
          </w:p>
        </w:tc>
      </w:tr>
      <w:tr>
        <w:tc>
          <w:tcPr>
            <w:tcW w:type="dxa" w:w="2400"/>
            <w:shd w:fill="F2F2F2" w:color="auto" w:val="clear"/>
          </w:tcPr>
          <w:p>
            <w:r>
              <w:rPr>
                <w:b/>
                <w:bCs/>
                <w:sz w:val="21"/>
                <w:szCs w:val="21"/>
              </w:rPr>
              <w:t xml:space="preserve">CTO</w:t>
            </w:r>
          </w:p>
        </w:tc>
        <w:tc>
          <w:tcPr>
            <w:tcW w:type="dxa" w:w="7800"/>
          </w:tcPr>
          <w:p>
            <w:r>
              <w:rPr>
                <w:sz w:val="21"/>
                <w:szCs w:val="21"/>
              </w:rPr>
              <w:t xml:space="preserve">Présente et arbitre les hypothèses lors de la réunion de validation.</w:t>
            </w:r>
          </w:p>
        </w:tc>
      </w:tr>
    </w:tbl>
    <w:p>
      <w:pPr>
        <w:pStyle w:val="Heading3"/>
        <w:spacing w:after="100" w:before="200"/>
      </w:pPr>
      <w:r>
        <w:t xml:space="preserve">1.4 Déroulé du processus</w:t>
      </w:r>
    </w:p>
    <w:p>
      <w:pPr>
        <w:pStyle w:val="ListParagraph"/>
        <w:numPr>
          <w:ilvl w:val="0"/>
          <w:numId w:val="2"/>
        </w:numPr>
        <w:spacing w:after="100"/>
      </w:pPr>
      <w:r>
        <w:t xml:space="preserve">À l'issue de chaque plénière de collecte (T2 ou T3), le FinOps local organise des points de synchronisation avec les référents APS côté production, afin de recueillir les besoins d'évolution pour l'année N et l'année N+1.</w:t>
      </w:r>
    </w:p>
    <w:p>
      <w:pPr>
        <w:pStyle w:val="ListParagraph"/>
        <w:numPr>
          <w:ilvl w:val="0"/>
          <w:numId w:val="2"/>
        </w:numPr>
        <w:spacing w:after="100"/>
      </w:pPr>
      <w:r>
        <w:t xml:space="preserve">Le FinOps local rédige un document de synthèse (PPT) reprenant l'ensemble des hypothèses d'évolution retenues pour N et N+1.</w:t>
      </w:r>
    </w:p>
    <w:p>
      <w:pPr>
        <w:pStyle w:val="ListParagraph"/>
        <w:numPr>
          <w:ilvl w:val="0"/>
          <w:numId w:val="2"/>
        </w:numPr>
        <w:spacing w:after="100"/>
      </w:pPr>
      <w:r>
        <w:t xml:space="preserve">Ce document est soumis aux référents APS pour validation de leurs hypothèses respectives, en amont de la réunion de validation.</w:t>
      </w:r>
    </w:p>
    <w:p>
      <w:pPr>
        <w:pStyle w:val="ListParagraph"/>
        <w:numPr>
          <w:ilvl w:val="0"/>
          <w:numId w:val="2"/>
        </w:numPr>
        <w:spacing w:after="100"/>
      </w:pPr>
      <w:r>
        <w:t xml:space="preserve">Le document validé par les référents APS est présenté par le CTO lors de la réunion de validation (voir Chapitre 2).</w:t>
      </w:r>
    </w:p>
    <w:p>
      <w:pPr>
        <w:pStyle w:val="Heading3"/>
        <w:spacing w:after="100" w:before="200"/>
      </w:pPr>
      <w:r>
        <w:t xml:space="preserve">1.5 Livrables</w:t>
      </w:r>
    </w:p>
    <w:p>
      <w:pPr>
        <w:pStyle w:val="ListParagraph"/>
        <w:numPr>
          <w:ilvl w:val="0"/>
          <w:numId w:val="1"/>
        </w:numPr>
        <w:spacing w:after="80"/>
      </w:pPr>
      <w:r>
        <w:t xml:space="preserve">Document PPT des hypothèses d'évolution N / N+1, validé par les référents APS</w:t>
      </w:r>
    </w:p>
    <w:p>
      <w:pPr>
        <w:pStyle w:val="ListParagraph"/>
        <w:numPr>
          <w:ilvl w:val="0"/>
          <w:numId w:val="1"/>
        </w:numPr>
        <w:spacing w:after="80"/>
      </w:pPr>
      <w:r>
        <w:t xml:space="preserve">Compte rendu des points de synchronisation avec les référents APS</w:t>
      </w:r>
    </w:p>
    <w:p>
      <w:pPr>
        <w:pStyle w:val="Heading3"/>
        <w:spacing w:after="100" w:before="200"/>
      </w:pPr>
      <w:r>
        <w:t xml:space="preserve">1.6 Fréquence</w:t>
      </w:r>
    </w:p>
    <w:p>
      <w:pPr>
        <w:spacing w:after="150"/>
      </w:pPr>
      <w:r>
        <w:t xml:space="preserve">Deux cycles par an, calés sur les collectes T2 (fin d'année N-1) et T3 (début d'année N) du Global Capacity Management.</w:t>
      </w:r>
    </w:p>
    <w:p>
      <w:pPr>
        <w:pStyle w:val="Heading2"/>
        <w:spacing w:after="150" w:before="300"/>
      </w:pPr>
      <w:r>
        <w:t xml:space="preserve">Chapitre 2 — Valider le plan de capacité</w:t>
      </w:r>
    </w:p>
    <w:p>
      <w:pPr>
        <w:pStyle w:val="Heading3"/>
        <w:spacing w:after="100" w:before="200"/>
      </w:pPr>
      <w:r>
        <w:t xml:space="preserve">2.1 Objectif</w:t>
      </w:r>
    </w:p>
    <w:p>
      <w:pPr>
        <w:spacing w:after="150"/>
      </w:pPr>
      <w:r>
        <w:t xml:space="preserve">Arbitrer et valider formellement les hypothèses d'évolution de capacité et leur traduction budgétaire, en présence du CTO et des référents APS.</w:t>
      </w:r>
    </w:p>
    <w:p>
      <w:pPr>
        <w:pStyle w:val="Heading3"/>
        <w:spacing w:after="100" w:before="200"/>
      </w:pPr>
      <w:r>
        <w:t xml:space="preserve">2.2 Acteurs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2400"/>
            <w:shd w:fill="F2F2F2" w:color="auto" w:val="clear"/>
          </w:tcPr>
          <w:p>
            <w:r>
              <w:rPr>
                <w:b/>
                <w:bCs/>
                <w:sz w:val="21"/>
                <w:szCs w:val="21"/>
              </w:rPr>
              <w:t xml:space="preserve">FinOps local</w:t>
            </w:r>
          </w:p>
        </w:tc>
        <w:tc>
          <w:tcPr>
            <w:tcW w:type="dxa" w:w="7800"/>
          </w:tcPr>
          <w:p>
            <w:r>
              <w:rPr>
                <w:sz w:val="21"/>
                <w:szCs w:val="21"/>
              </w:rPr>
              <w:t xml:space="preserve">Prépare en amont l'évolution du coût budgétaire, anime la réunion et documente la décision.</w:t>
            </w:r>
          </w:p>
        </w:tc>
      </w:tr>
      <w:tr>
        <w:tc>
          <w:tcPr>
            <w:tcW w:type="dxa" w:w="2400"/>
            <w:shd w:fill="F2F2F2" w:color="auto" w:val="clear"/>
          </w:tcPr>
          <w:p>
            <w:r>
              <w:rPr>
                <w:b/>
                <w:bCs/>
                <w:sz w:val="21"/>
                <w:szCs w:val="21"/>
              </w:rPr>
              <w:t xml:space="preserve">CTO</w:t>
            </w:r>
          </w:p>
        </w:tc>
        <w:tc>
          <w:tcPr>
            <w:tcW w:type="dxa" w:w="7800"/>
          </w:tcPr>
          <w:p>
            <w:r>
              <w:rPr>
                <w:sz w:val="21"/>
                <w:szCs w:val="21"/>
              </w:rPr>
              <w:t xml:space="preserve">Arbitre et valide les hypothèses présentées.</w:t>
            </w:r>
          </w:p>
        </w:tc>
      </w:tr>
      <w:tr>
        <w:tc>
          <w:tcPr>
            <w:tcW w:type="dxa" w:w="2400"/>
            <w:shd w:fill="F2F2F2" w:color="auto" w:val="clear"/>
          </w:tcPr>
          <w:p>
            <w:r>
              <w:rPr>
                <w:b/>
                <w:bCs/>
                <w:sz w:val="21"/>
                <w:szCs w:val="21"/>
              </w:rPr>
              <w:t xml:space="preserve">Référents APS</w:t>
            </w:r>
          </w:p>
        </w:tc>
        <w:tc>
          <w:tcPr>
            <w:tcW w:type="dxa" w:w="7800"/>
          </w:tcPr>
          <w:p>
            <w:r>
              <w:rPr>
                <w:sz w:val="21"/>
                <w:szCs w:val="21"/>
              </w:rPr>
              <w:t xml:space="preserve">Confirment en réunion les besoins exprimés et leur priorisation.</w:t>
            </w:r>
          </w:p>
        </w:tc>
      </w:tr>
    </w:tbl>
    <w:p>
      <w:pPr>
        <w:pStyle w:val="Heading3"/>
        <w:spacing w:after="100" w:before="200"/>
      </w:pPr>
      <w:r>
        <w:t xml:space="preserve">2.3 Déroulé du processus</w:t>
      </w:r>
    </w:p>
    <w:p>
      <w:pPr>
        <w:pStyle w:val="ListParagraph"/>
        <w:numPr>
          <w:ilvl w:val="0"/>
          <w:numId w:val="3"/>
        </w:numPr>
        <w:spacing w:after="100"/>
      </w:pPr>
      <w:r>
        <w:t xml:space="preserve">Le FinOps local organise une réunion de validation des hypothèses en présence du CTO et des référents APS.</w:t>
      </w:r>
    </w:p>
    <w:p>
      <w:pPr>
        <w:pStyle w:val="ListParagraph"/>
        <w:numPr>
          <w:ilvl w:val="0"/>
          <w:numId w:val="3"/>
        </w:numPr>
        <w:spacing w:after="100"/>
      </w:pPr>
      <w:r>
        <w:t xml:space="preserve">En amont de cette réunion, le FinOps local prépare l'évolution du coût budgétaire associée aux hypothèses retenues.</w:t>
      </w:r>
    </w:p>
    <w:p>
      <w:pPr>
        <w:pStyle w:val="ListParagraph"/>
        <w:numPr>
          <w:ilvl w:val="0"/>
          <w:numId w:val="3"/>
        </w:numPr>
        <w:spacing w:after="100"/>
      </w:pPr>
      <w:r>
        <w:t xml:space="preserve">Pour les gros postes de dépenses, des simulations de coût sont réalisées à l'aide d'une calculatrice de coût par offre (pricing calculator du fournisseur cloud).</w:t>
      </w:r>
    </w:p>
    <w:p>
      <w:pPr>
        <w:pStyle w:val="ListParagraph"/>
        <w:numPr>
          <w:ilvl w:val="0"/>
          <w:numId w:val="3"/>
        </w:numPr>
        <w:spacing w:after="100"/>
      </w:pPr>
      <w:r>
        <w:t xml:space="preserve">Ces simulations alimentent, sous Excel, une projection mois par mois du budget sur l'année, détaillée par grand poste de dépense.</w:t>
      </w:r>
    </w:p>
    <w:p>
      <w:pPr>
        <w:pStyle w:val="ListParagraph"/>
        <w:numPr>
          <w:ilvl w:val="0"/>
          <w:numId w:val="3"/>
        </w:numPr>
        <w:spacing w:after="100"/>
      </w:pPr>
      <w:r>
        <w:t xml:space="preserve">Un tableau de suivi de l'évolution budgétaire par rapport au budget alloué en prévisionnel est produit, afin de visualiser les écarts.</w:t>
      </w:r>
    </w:p>
    <w:p>
      <w:pPr>
        <w:pStyle w:val="ListParagraph"/>
        <w:numPr>
          <w:ilvl w:val="0"/>
          <w:numId w:val="3"/>
        </w:numPr>
        <w:spacing w:after="100"/>
      </w:pPr>
      <w:r>
        <w:t xml:space="preserve">Dans le cas de projets de migration, un double run (coexistence de l'environnement source et de l'environnement cible) est intégré à la projection budgétaire.</w:t>
      </w:r>
    </w:p>
    <w:p>
      <w:pPr>
        <w:pStyle w:val="ListParagraph"/>
        <w:numPr>
          <w:ilvl w:val="0"/>
          <w:numId w:val="3"/>
        </w:numPr>
        <w:spacing w:after="100"/>
      </w:pPr>
      <w:r>
        <w:t xml:space="preserve">Un run rate est défini à partir de la consommation constatée, afin d'établir un forecast et d'anticiper toute dérive de coût (hausse tarifaire fournisseur ou autre facteur).</w:t>
      </w:r>
    </w:p>
    <w:p>
      <w:pPr>
        <w:pStyle w:val="ListParagraph"/>
        <w:numPr>
          <w:ilvl w:val="0"/>
          <w:numId w:val="3"/>
        </w:numPr>
        <w:spacing w:after="100"/>
      </w:pPr>
      <w:r>
        <w:t xml:space="preserve">La réunion aboutit à la validation (ou à l'ajustement) des hypothèses et de leur traduction budgétaire par le CTO.</w:t>
      </w:r>
    </w:p>
    <w:p>
      <w:pPr>
        <w:pStyle w:val="Heading3"/>
        <w:spacing w:after="100" w:before="200"/>
      </w:pPr>
      <w:r>
        <w:t xml:space="preserve">2.4 Livrables</w:t>
      </w:r>
    </w:p>
    <w:p>
      <w:pPr>
        <w:pStyle w:val="ListParagraph"/>
        <w:numPr>
          <w:ilvl w:val="0"/>
          <w:numId w:val="1"/>
        </w:numPr>
        <w:spacing w:after="80"/>
      </w:pPr>
      <w:r>
        <w:t xml:space="preserve">Support de présentation budgétaire (évolution du coût par rapport au budget alloué)</w:t>
      </w:r>
    </w:p>
    <w:p>
      <w:pPr>
        <w:pStyle w:val="ListParagraph"/>
        <w:numPr>
          <w:ilvl w:val="0"/>
          <w:numId w:val="1"/>
        </w:numPr>
        <w:spacing w:after="80"/>
      </w:pPr>
      <w:r>
        <w:t xml:space="preserve">Fichier Excel de projection budgétaire mensuelle par poste de dépense</w:t>
      </w:r>
    </w:p>
    <w:p>
      <w:pPr>
        <w:pStyle w:val="ListParagraph"/>
        <w:numPr>
          <w:ilvl w:val="0"/>
          <w:numId w:val="1"/>
        </w:numPr>
        <w:spacing w:after="80"/>
      </w:pPr>
      <w:r>
        <w:t xml:space="preserve">Run rate / forecast documenté</w:t>
      </w:r>
    </w:p>
    <w:p>
      <w:pPr>
        <w:pStyle w:val="ListParagraph"/>
        <w:numPr>
          <w:ilvl w:val="0"/>
          <w:numId w:val="1"/>
        </w:numPr>
        <w:spacing w:after="80"/>
      </w:pPr>
      <w:r>
        <w:t xml:space="preserve">Compte rendu de la réunion de validation, avec décision du CTO</w:t>
      </w:r>
    </w:p>
    <w:p>
      <w:pPr>
        <w:pStyle w:val="Heading3"/>
        <w:spacing w:after="100" w:before="200"/>
      </w:pPr>
      <w:r>
        <w:t xml:space="preserve">2.5 Fréquence</w:t>
      </w:r>
    </w:p>
    <w:p>
      <w:pPr>
        <w:spacing w:after="150"/>
      </w:pPr>
      <w:r>
        <w:t xml:space="preserve">À l'issue de chaque cycle de recueil (cf. Chapitre 1), soit deux fois par an.</w:t>
      </w:r>
    </w:p>
    <w:p>
      <w:pPr>
        <w:pStyle w:val="Heading2"/>
        <w:spacing w:after="150" w:before="300"/>
      </w:pPr>
      <w:r>
        <w:t xml:space="preserve">Chapitre 3 — Déployer le plan de capacité</w:t>
      </w:r>
    </w:p>
    <w:p>
      <w:pPr>
        <w:pStyle w:val="Heading3"/>
        <w:spacing w:after="100" w:before="200"/>
      </w:pPr>
      <w:r>
        <w:t xml:space="preserve">3.1 Objectif</w:t>
      </w:r>
    </w:p>
    <w:p>
      <w:pPr>
        <w:spacing w:after="150"/>
      </w:pPr>
      <w:r>
        <w:t xml:space="preserve">Transmettre au Global Capacity Management, via l'outil CCollecte, les volumes ayant servi à élaborer le plan de capacité validé (cf. Chapitre 2), et obtenir la validation finale de ce plan, incluant l'alignement avec le plan capacitaire présenté par le fournisseur cloud.</w:t>
      </w:r>
    </w:p>
    <w:p>
      <w:pPr>
        <w:pStyle w:val="Heading3"/>
        <w:spacing w:after="100" w:before="200"/>
      </w:pPr>
      <w:r>
        <w:t xml:space="preserve">3.2 Acteurs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2400"/>
            <w:shd w:fill="F2F2F2" w:color="auto" w:val="clear"/>
          </w:tcPr>
          <w:p>
            <w:r>
              <w:rPr>
                <w:b/>
                <w:bCs/>
                <w:sz w:val="21"/>
                <w:szCs w:val="21"/>
              </w:rPr>
              <w:t xml:space="preserve">FinOps local</w:t>
            </w:r>
          </w:p>
        </w:tc>
        <w:tc>
          <w:tcPr>
            <w:tcW w:type="dxa" w:w="7800"/>
          </w:tcPr>
          <w:p>
            <w:r>
              <w:rPr>
                <w:sz w:val="21"/>
                <w:szCs w:val="21"/>
              </w:rPr>
              <w:t xml:space="preserve">Met à jour les volumes dans l'outil CCollecte à l'issue de la validation locale ; prépare et participe à la réunion de validation organisée par le Global Capacity Management.</w:t>
            </w:r>
          </w:p>
        </w:tc>
      </w:tr>
      <w:tr>
        <w:tc>
          <w:tcPr>
            <w:tcW w:type="dxa" w:w="2400"/>
            <w:shd w:fill="F2F2F2" w:color="auto" w:val="clear"/>
          </w:tcPr>
          <w:p>
            <w:r>
              <w:rPr>
                <w:b/>
                <w:bCs/>
                <w:sz w:val="21"/>
                <w:szCs w:val="21"/>
              </w:rPr>
              <w:t xml:space="preserve">Global Capacity Management</w:t>
            </w:r>
          </w:p>
        </w:tc>
        <w:tc>
          <w:tcPr>
            <w:tcW w:type="dxa" w:w="7800"/>
          </w:tcPr>
          <w:p>
            <w:r>
              <w:rPr>
                <w:sz w:val="21"/>
                <w:szCs w:val="21"/>
              </w:rPr>
              <w:t xml:space="preserve">Propriétaire de l'outil CCollecte. Reprend la main sur les volumes déposés : revoit les données, en assure la cohérence et l'alignement avec la stratégie de l'entité. Organise la réunion de validation et transmet en amont le support de présentation.</w:t>
            </w:r>
          </w:p>
        </w:tc>
      </w:tr>
      <w:tr>
        <w:tc>
          <w:tcPr>
            <w:tcW w:type="dxa" w:w="2400"/>
            <w:shd w:fill="F2F2F2" w:color="auto" w:val="clear"/>
          </w:tcPr>
          <w:p>
            <w:r>
              <w:rPr>
                <w:b/>
                <w:bCs/>
                <w:sz w:val="21"/>
                <w:szCs w:val="21"/>
              </w:rPr>
              <w:t xml:space="preserve">CTO</w:t>
            </w:r>
          </w:p>
        </w:tc>
        <w:tc>
          <w:tcPr>
            <w:tcW w:type="dxa" w:w="7800"/>
          </w:tcPr>
          <w:p>
            <w:r>
              <w:rPr>
                <w:sz w:val="21"/>
                <w:szCs w:val="21"/>
              </w:rPr>
              <w:t xml:space="preserve">Participe à la réunion de validation organisée par le Global Capacity Management.</w:t>
            </w:r>
          </w:p>
        </w:tc>
      </w:tr>
      <w:tr>
        <w:tc>
          <w:tcPr>
            <w:tcW w:type="dxa" w:w="2400"/>
            <w:shd w:fill="F2F2F2" w:color="auto" w:val="clear"/>
          </w:tcPr>
          <w:p>
            <w:r>
              <w:rPr>
                <w:b/>
                <w:bCs/>
                <w:sz w:val="21"/>
                <w:szCs w:val="21"/>
              </w:rPr>
              <w:t xml:space="preserve">Fournisseur cloud</w:t>
            </w:r>
          </w:p>
        </w:tc>
        <w:tc>
          <w:tcPr>
            <w:tcW w:type="dxa" w:w="7800"/>
          </w:tcPr>
          <w:p>
            <w:r>
              <w:rPr>
                <w:sz w:val="21"/>
                <w:szCs w:val="21"/>
              </w:rPr>
              <w:t xml:space="preserve">Présente son plan capacitaire ; sa cohérence avec les volumes validés doit être confirmée par l'entité.</w:t>
            </w:r>
          </w:p>
        </w:tc>
      </w:tr>
    </w:tbl>
    <w:p>
      <w:pPr>
        <w:pStyle w:val="Heading3"/>
        <w:spacing w:after="100" w:before="200"/>
      </w:pPr>
      <w:r>
        <w:t xml:space="preserve">3.3 Déroulé du processus</w:t>
      </w:r>
    </w:p>
    <w:p>
      <w:pPr>
        <w:pStyle w:val="ListParagraph"/>
        <w:numPr>
          <w:ilvl w:val="0"/>
          <w:numId w:val="4"/>
        </w:numPr>
        <w:spacing w:after="100"/>
      </w:pPr>
      <w:r>
        <w:t xml:space="preserve">Une fois le plan de capacité validé (cf. Chapitre 2), le FinOps local met à jour, dans l'outil CCollecte du Global Capacity Management, les volumes ayant servi à élaborer les projections.</w:t>
      </w:r>
    </w:p>
    <w:p>
      <w:pPr>
        <w:pStyle w:val="ListParagraph"/>
        <w:numPr>
          <w:ilvl w:val="0"/>
          <w:numId w:val="4"/>
        </w:numPr>
        <w:spacing w:after="100"/>
      </w:pPr>
      <w:r>
        <w:t xml:space="preserve">Le Global Capacity Management reprend la main : il revoit les volumes déposés, vérifie la cohérence des données et l'alignement avec la stratégie de l'entité.</w:t>
      </w:r>
    </w:p>
    <w:p>
      <w:pPr>
        <w:pStyle w:val="ListParagraph"/>
        <w:numPr>
          <w:ilvl w:val="0"/>
          <w:numId w:val="4"/>
        </w:numPr>
        <w:spacing w:after="100"/>
      </w:pPr>
      <w:r>
        <w:t xml:space="preserve">Le Global Capacity Management transmet en amont au FinOps local un support de présentation, afin qu'il prépare la réunion de validation.</w:t>
      </w:r>
    </w:p>
    <w:p>
      <w:pPr>
        <w:pStyle w:val="ListParagraph"/>
        <w:numPr>
          <w:ilvl w:val="0"/>
          <w:numId w:val="4"/>
        </w:numPr>
        <w:spacing w:after="100"/>
      </w:pPr>
      <w:r>
        <w:t xml:space="preserve">Une réunion de validation est organisée par le Global Capacity Management, en présence du FinOps local et du CTO.</w:t>
      </w:r>
    </w:p>
    <w:p>
      <w:pPr>
        <w:pStyle w:val="ListParagraph"/>
        <w:numPr>
          <w:ilvl w:val="0"/>
          <w:numId w:val="4"/>
        </w:numPr>
        <w:spacing w:after="100"/>
      </w:pPr>
      <w:r>
        <w:t xml:space="preserve">Le fournisseur cloud présente ensuite son propre plan capacitaire ; le FinOps local s'assure de la cohérence de ce plan avec les volumes validés avant accord final.</w:t>
      </w:r>
    </w:p>
    <w:p>
      <w:pPr>
        <w:pStyle w:val="Heading3"/>
        <w:spacing w:after="100" w:before="200"/>
      </w:pPr>
      <w:r>
        <w:t xml:space="preserve">3.4 Livrables</w:t>
      </w:r>
    </w:p>
    <w:p>
      <w:pPr>
        <w:pStyle w:val="ListParagraph"/>
        <w:numPr>
          <w:ilvl w:val="0"/>
          <w:numId w:val="1"/>
        </w:numPr>
        <w:spacing w:after="80"/>
      </w:pPr>
      <w:r>
        <w:t xml:space="preserve">Volumes mis à jour dans l'outil CCollecte</w:t>
      </w:r>
    </w:p>
    <w:p>
      <w:pPr>
        <w:pStyle w:val="ListParagraph"/>
        <w:numPr>
          <w:ilvl w:val="0"/>
          <w:numId w:val="1"/>
        </w:numPr>
        <w:spacing w:after="80"/>
      </w:pPr>
      <w:r>
        <w:t xml:space="preserve">Support de présentation transmis par le Global Capacity Management</w:t>
      </w:r>
    </w:p>
    <w:p>
      <w:pPr>
        <w:pStyle w:val="ListParagraph"/>
        <w:numPr>
          <w:ilvl w:val="0"/>
          <w:numId w:val="1"/>
        </w:numPr>
        <w:spacing w:after="80"/>
      </w:pPr>
      <w:r>
        <w:t xml:space="preserve">Compte rendu de la réunion de validation Global Capacity Management</w:t>
      </w:r>
    </w:p>
    <w:p>
      <w:pPr>
        <w:pStyle w:val="ListParagraph"/>
        <w:numPr>
          <w:ilvl w:val="0"/>
          <w:numId w:val="1"/>
        </w:numPr>
        <w:spacing w:after="80"/>
      </w:pPr>
      <w:r>
        <w:t xml:space="preserve">Accord de cohérence sur le plan capacitaire présenté par le fournisseur cloud</w:t>
      </w:r>
    </w:p>
    <w:p>
      <w:pPr>
        <w:pStyle w:val="Heading3"/>
        <w:spacing w:after="100" w:before="200"/>
      </w:pPr>
      <w:r>
        <w:t xml:space="preserve">3.5 Fréquence</w:t>
      </w:r>
    </w:p>
    <w:p>
      <w:pPr>
        <w:spacing w:after="150"/>
      </w:pPr>
      <w:r>
        <w:t xml:space="preserve">À l'issue de chaque cycle de validation locale (cf. Chapitre 2), soit deux fois par an.</w:t>
      </w:r>
    </w:p>
    <w:p>
      <w:pPr>
        <w:pStyle w:val="Heading2"/>
        <w:spacing w:after="150" w:before="300"/>
      </w:pPr>
      <w:r>
        <w:t xml:space="preserve">Chapitre 4 — Reporting</w:t>
      </w:r>
    </w:p>
    <w:p>
      <w:pPr>
        <w:pStyle w:val="Heading3"/>
        <w:spacing w:after="100" w:before="200"/>
      </w:pPr>
      <w:r>
        <w:t xml:space="preserve">4.1 Objectif</w:t>
      </w:r>
    </w:p>
    <w:p>
      <w:pPr>
        <w:spacing w:after="150"/>
      </w:pPr>
      <w:r>
        <w:t xml:space="preserve">Vérifier mensuellement les volumes utilisés et les comparer aux stocks fournis par le fournisseur cloud, afin de s'assurer de la cohérence entre consommation réelle et plan de capacité validé, et détecter au plus tôt tout écart nécessitant une action corrective.</w:t>
      </w:r>
    </w:p>
    <w:p>
      <w:pPr>
        <w:pStyle w:val="Heading3"/>
        <w:spacing w:after="100" w:before="200"/>
      </w:pPr>
      <w:r>
        <w:t xml:space="preserve">4.2 Acteurs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2400"/>
            <w:shd w:fill="F2F2F2" w:color="auto" w:val="clear"/>
          </w:tcPr>
          <w:p>
            <w:r>
              <w:rPr>
                <w:b/>
                <w:bCs/>
                <w:sz w:val="21"/>
                <w:szCs w:val="21"/>
              </w:rPr>
              <w:t xml:space="preserve">Global Capacity Management</w:t>
            </w:r>
          </w:p>
        </w:tc>
        <w:tc>
          <w:tcPr>
            <w:tcW w:type="dxa" w:w="7800"/>
          </w:tcPr>
          <w:p>
            <w:r>
              <w:rPr>
                <w:sz w:val="21"/>
                <w:szCs w:val="21"/>
              </w:rPr>
              <w:t xml:space="preserve">Met à disposition l'outil de facturation permettant d'extraire les volumes consommés.</w:t>
            </w:r>
          </w:p>
        </w:tc>
      </w:tr>
      <w:tr>
        <w:tc>
          <w:tcPr>
            <w:tcW w:type="dxa" w:w="2400"/>
            <w:shd w:fill="F2F2F2" w:color="auto" w:val="clear"/>
          </w:tcPr>
          <w:p>
            <w:r>
              <w:rPr>
                <w:b/>
                <w:bCs/>
                <w:sz w:val="21"/>
                <w:szCs w:val="21"/>
              </w:rPr>
              <w:t xml:space="preserve">FinOps local</w:t>
            </w:r>
          </w:p>
        </w:tc>
        <w:tc>
          <w:tcPr>
            <w:tcW w:type="dxa" w:w="7800"/>
          </w:tcPr>
          <w:p>
            <w:r>
              <w:rPr>
                <w:sz w:val="21"/>
                <w:szCs w:val="21"/>
              </w:rPr>
              <w:t xml:space="preserve">Récupère mensuellement les extraits de volumes, alimente la base de données de suivi, maintient le dashboard Power BI, détecte les écarts, envoie les mails de vérification et ouvre les tickets JIRA de correction.</w:t>
            </w:r>
          </w:p>
        </w:tc>
      </w:tr>
      <w:tr>
        <w:tc>
          <w:tcPr>
            <w:tcW w:type="dxa" w:w="2400"/>
            <w:shd w:fill="F2F2F2" w:color="auto" w:val="clear"/>
          </w:tcPr>
          <w:p>
            <w:r>
              <w:rPr>
                <w:b/>
                <w:bCs/>
                <w:sz w:val="21"/>
                <w:szCs w:val="21"/>
              </w:rPr>
              <w:t xml:space="preserve">Tribes / référents APS</w:t>
            </w:r>
          </w:p>
        </w:tc>
        <w:tc>
          <w:tcPr>
            <w:tcW w:type="dxa" w:w="7800"/>
          </w:tcPr>
          <w:p>
            <w:r>
              <w:rPr>
                <w:sz w:val="21"/>
                <w:szCs w:val="21"/>
              </w:rPr>
              <w:t xml:space="preserve">Consultent le dashboard Power BI pour suivre l'évolution de leur coût, répondent aux sollicitations en cas d'écart et prennent en charge les tickets JIRA de correction/optimisation.</w:t>
            </w:r>
          </w:p>
        </w:tc>
      </w:tr>
    </w:tbl>
    <w:p>
      <w:pPr>
        <w:pStyle w:val="Heading3"/>
        <w:spacing w:after="100" w:before="200"/>
      </w:pPr>
      <w:r>
        <w:t xml:space="preserve">4.3 Déroulé du processus</w:t>
      </w:r>
    </w:p>
    <w:p>
      <w:pPr>
        <w:pStyle w:val="ListParagraph"/>
        <w:numPr>
          <w:ilvl w:val="0"/>
          <w:numId w:val="5"/>
        </w:numPr>
        <w:spacing w:after="100"/>
      </w:pPr>
      <w:r>
        <w:t xml:space="preserve">Le Global Capacity Management met à disposition un outil de facturation permettant d'extraire les volumes consommés.</w:t>
      </w:r>
    </w:p>
    <w:p>
      <w:pPr>
        <w:pStyle w:val="ListParagraph"/>
        <w:numPr>
          <w:ilvl w:val="0"/>
          <w:numId w:val="5"/>
        </w:numPr>
        <w:spacing w:after="100"/>
      </w:pPr>
      <w:r>
        <w:t xml:space="preserve">Le FinOps local récupère mensuellement les extraits de volumes ; ceux-ci sont généralement disponibles le 15 du mois suivant.</w:t>
      </w:r>
    </w:p>
    <w:p>
      <w:pPr>
        <w:pStyle w:val="ListParagraph"/>
        <w:numPr>
          <w:ilvl w:val="0"/>
          <w:numId w:val="5"/>
        </w:numPr>
        <w:spacing w:after="100"/>
      </w:pPr>
      <w:r>
        <w:t xml:space="preserve">Le FinOps local intègre ces volumes dans une base de données (DB) gérée localement, permettant le suivi des évolutions par recherche ciblée (application, offre, tribe, fournisseur, etc.).</w:t>
      </w:r>
    </w:p>
    <w:p>
      <w:pPr>
        <w:pStyle w:val="ListParagraph"/>
        <w:numPr>
          <w:ilvl w:val="0"/>
          <w:numId w:val="5"/>
        </w:numPr>
        <w:spacing w:after="100"/>
      </w:pPr>
      <w:r>
        <w:t xml:space="preserve">Un dashboard Power BI, alimenté par cette DB, est mis à disposition des Tribes sur le SharePoint APS, leur permettant de suivre l'évolution de leur coût.</w:t>
      </w:r>
    </w:p>
    <w:p>
      <w:pPr>
        <w:pStyle w:val="ListParagraph"/>
        <w:numPr>
          <w:ilvl w:val="0"/>
          <w:numId w:val="5"/>
        </w:numPr>
        <w:spacing w:after="100"/>
      </w:pPr>
      <w:r>
        <w:t xml:space="preserve">Les écarts significatifs sont identifiés et intégrés automatiquement lors des mises à jour mensuelles opérées par l'outil du Global Capacity Management ; sur cette base, le FinOps local envoie un mail de vérification à la tribe concernée.</w:t>
      </w:r>
    </w:p>
    <w:p>
      <w:pPr>
        <w:pStyle w:val="ListParagraph"/>
        <w:numPr>
          <w:ilvl w:val="0"/>
          <w:numId w:val="5"/>
        </w:numPr>
        <w:spacing w:after="100"/>
      </w:pPr>
      <w:r>
        <w:t xml:space="preserve">Si l'écart est confirmé, le FinOps local ouvre un ticket JIRA à l'égard de la tribe concernée, pour correction ou optimisation.</w:t>
      </w:r>
    </w:p>
    <w:p>
      <w:pPr>
        <w:pStyle w:val="Heading3"/>
        <w:spacing w:after="100" w:before="200"/>
      </w:pPr>
      <w:r>
        <w:t xml:space="preserve">4.4 Livrables</w:t>
      </w:r>
    </w:p>
    <w:p>
      <w:pPr>
        <w:pStyle w:val="ListParagraph"/>
        <w:numPr>
          <w:ilvl w:val="0"/>
          <w:numId w:val="1"/>
        </w:numPr>
        <w:spacing w:after="80"/>
      </w:pPr>
      <w:r>
        <w:t xml:space="preserve">Extraits mensuels de volumes (outil de facturation du Global Capacity Management)</w:t>
      </w:r>
    </w:p>
    <w:p>
      <w:pPr>
        <w:pStyle w:val="ListParagraph"/>
        <w:numPr>
          <w:ilvl w:val="0"/>
          <w:numId w:val="1"/>
        </w:numPr>
        <w:spacing w:after="80"/>
      </w:pPr>
      <w:r>
        <w:t xml:space="preserve">Base de données de suivi des volumes (application, offre, tribe, fournisseur)</w:t>
      </w:r>
    </w:p>
    <w:p>
      <w:pPr>
        <w:pStyle w:val="ListParagraph"/>
        <w:numPr>
          <w:ilvl w:val="0"/>
          <w:numId w:val="1"/>
        </w:numPr>
        <w:spacing w:after="80"/>
      </w:pPr>
      <w:r>
        <w:t xml:space="preserve">Dashboard Power BI publié sur le SharePoint APS</w:t>
      </w:r>
    </w:p>
    <w:p>
      <w:pPr>
        <w:pStyle w:val="ListParagraph"/>
        <w:numPr>
          <w:ilvl w:val="0"/>
          <w:numId w:val="1"/>
        </w:numPr>
        <w:spacing w:after="80"/>
      </w:pPr>
      <w:r>
        <w:t xml:space="preserve">Mails de vérification en cas d'écart détecté</w:t>
      </w:r>
    </w:p>
    <w:p>
      <w:pPr>
        <w:pStyle w:val="ListParagraph"/>
        <w:numPr>
          <w:ilvl w:val="0"/>
          <w:numId w:val="1"/>
        </w:numPr>
        <w:spacing w:after="80"/>
      </w:pPr>
      <w:r>
        <w:t xml:space="preserve">Tickets JIRA de correction/optimisation, le cas échéant</w:t>
      </w:r>
    </w:p>
    <w:p>
      <w:pPr>
        <w:pStyle w:val="Heading3"/>
        <w:spacing w:after="100" w:before="200"/>
      </w:pPr>
      <w:r>
        <w:t xml:space="preserve">4.5 Fréquence</w:t>
      </w:r>
    </w:p>
    <w:p>
      <w:pPr>
        <w:spacing w:after="150"/>
      </w:pPr>
      <w:r>
        <w:t xml:space="preserve">Mensuelle : réception des extraits de volumes vers le 15 du mois suivant, avec mise à jour de la DB, du dashboard et contrôle des écarts à cette occasion.</w:t>
      </w:r>
    </w:p>
    <w:p>
      <w:pPr>
        <w:pStyle w:val="Heading1"/>
        <w:spacing w:after="200" w:before="400"/>
      </w:pPr>
      <w:r>
        <w:t xml:space="preserve">Points transverses à traiter</w:t>
      </w:r>
    </w:p>
    <w:p>
      <w:pPr>
        <w:spacing w:after="150"/>
      </w:pPr>
      <w:r>
        <w:t xml:space="preserve">Les points suivants ne rentrent dans aucun chapitre individuel mais concernent l'ensemble du Volet 1 :</w:t>
      </w:r>
    </w:p>
    <w:p>
      <w:pPr>
        <w:pStyle w:val="ListParagraph"/>
        <w:numPr>
          <w:ilvl w:val="0"/>
          <w:numId w:val="1"/>
        </w:numPr>
        <w:spacing w:after="80"/>
      </w:pPr>
      <w:r>
        <w:t xml:space="preserve">Gestion des écarts hors cycle : quel process si un besoin imprévu apparaît entre deux plénières de collecte ?</w:t>
      </w:r>
    </w:p>
    <w:p>
      <w:pPr>
        <w:pStyle w:val="ListParagraph"/>
        <w:numPr>
          <w:ilvl w:val="0"/>
          <w:numId w:val="1"/>
        </w:numPr>
        <w:spacing w:after="80"/>
      </w:pPr>
      <w:r>
        <w:t xml:space="preserve">RACI formalisé entre Global Capacity Management, FinOps local, référents APS et CTO.</w:t>
      </w:r>
    </w:p>
    <w:p>
      <w:pPr>
        <w:pStyle w:val="ListParagraph"/>
        <w:numPr>
          <w:ilvl w:val="0"/>
          <w:numId w:val="1"/>
        </w:numPr>
        <w:spacing w:after="80"/>
      </w:pPr>
      <w:r>
        <w:t xml:space="preserve">Gouvernance documentaire : lieu de stockage et versioning du plan, du PPT d'hypothèses et des fichiers Excel budgétaires.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abstractNum w:abstractNumId="5"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2026-08-07T12:14:08.655Z</dcterms:created>
  <dcterms:modified xsi:type="dcterms:W3CDTF">2026-08-07T12:14:08.656Z</dcterms:modified>
</cp:coreProperties>
</file>

<file path=docProps/custom.xml><?xml version="1.0" encoding="utf-8"?>
<Properties xmlns="http://schemas.openxmlformats.org/officeDocument/2006/custom-properties" xmlns:vt="http://schemas.openxmlformats.org/officeDocument/2006/docPropsVTypes"/>
</file>