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80" w:after="240"/>
        <w:jc w:val="center"/>
      </w:pPr>
      <w:r>
        <w:rPr>
          <w:rFonts w:ascii="Aptos Display" w:hAnsi="Aptos Display" w:eastAsia="Aptos Display"/>
          <w:b/>
          <w:color w:val="18324B"/>
          <w:sz w:val="68"/>
        </w:rPr>
        <w:t>VINCULUM FINALIS</w:t>
      </w:r>
    </w:p>
    <w:p>
      <w:pPr>
        <w:spacing w:after="160"/>
        <w:jc w:val="center"/>
      </w:pPr>
      <w:r>
        <w:rPr>
          <w:rFonts w:ascii="Aptos Display" w:hAnsi="Aptos Display" w:eastAsia="Aptos Display"/>
          <w:b/>
          <w:color w:val="2E5E88"/>
          <w:sz w:val="44"/>
        </w:rPr>
        <w:t>MASTER SPECIFICATION</w:t>
      </w:r>
    </w:p>
    <w:p>
      <w:pPr>
        <w:spacing w:after="400"/>
        <w:jc w:val="center"/>
      </w:pPr>
      <w:r>
        <w:t>Current Master Specification  |  28 July 2026</w:t>
      </w:r>
    </w:p>
    <w:tbl>
      <w:tblPr>
        <w:tblStyle w:val="TableGrid"/>
        <w:tblW w:type="dxa" w:w="9648"/>
        <w:jc w:val="left"/>
        <w:tblLayout w:type="fixed"/>
        <w:tblLook w:firstColumn="1" w:firstRow="1" w:lastColumn="0" w:lastRow="0" w:noHBand="0" w:noVBand="1" w:val="04A0"/>
        <w:tblInd w:w="120" w:type="dxa"/>
      </w:tblPr>
      <w:tblGrid>
        <w:gridCol w:w="9648"/>
      </w:tblGrid>
      <w:tr>
        <w:trPr>
          <w:tblHeader w:val="true"/>
          <w:cantSplit/>
        </w:trPr>
        <w:tc>
          <w:tcPr>
            <w:tcW w:type="dxa" w:w="9648"/>
            <w:shd w:fill="E8F0F7"/>
            <w:tcMar>
              <w:top w:w="105" w:type="dxa"/>
              <w:start w:w="120" w:type="dxa"/>
              <w:bottom w:w="105" w:type="dxa"/>
              <w:end w:w="120" w:type="dxa"/>
            </w:tcMar>
            <w:vAlign w:val="center"/>
          </w:tcPr>
          <w:p>
            <w:r/>
            <w:r>
              <w:rPr>
                <w:b/>
                <w:color w:val="18324B"/>
              </w:rPr>
              <w:t>DOCUMENT STATUS</w:t>
            </w:r>
            <w:r>
              <w:br/>
              <w:t>Current Master Specification - Not Implementation-Complete. This document incorporates all presently settled and owner-approved protocol behavior. Remaining blockers are deployability evidence - including the Cosmos Hub chain-native feasibility analysis - and deferred external deployment inputs. No owner decision remains open. No AI, implementer, auditor, or contributor may interpret an unresolved or omitted implementation detail as authorization to invent behavior.</w:t>
            </w:r>
          </w:p>
        </w:tc>
      </w:tr>
    </w:tbl>
    <w:p>
      <w:pPr>
        <w:spacing w:after="20"/>
      </w:pPr>
    </w:p>
    <w:p>
      <w:pPr>
        <w:spacing w:before="160" w:after="240"/>
        <w:jc w:val="center"/>
      </w:pPr>
      <w:r>
        <w:rPr>
          <w:i/>
          <w:color w:val="18324B"/>
          <w:sz w:val="22"/>
        </w:rPr>
        <w:t>The complete plain-language expression of what the protocol is, what it permits, and what every implementation must preserve.</w:t>
      </w:r>
    </w:p>
    <w:p>
      <w:pPr>
        <w:pStyle w:val="Heading2"/>
      </w:pPr>
      <w:r>
        <w:t>Independent Review Record</w:t>
      </w:r>
    </w:p>
    <w:p>
      <w:pPr/>
      <w:r>
        <w:t>The Claude and Grok/Team entries below concern an earlier specification file. Their directed corrections were incorporated before this current file. This current file additionally incorporates the owner-approved Handshake, fee-treatment, canonical-release-public-key, and objective pending-attempt rules. This is a document-preparation statement, not an independent approval of the current file. No independent review is recorded for this exact current file at creation. A later review must identify the exact file reviewed in a separate evidence record. Review is quality evidence; it is not authority to alter this specification.</w:t>
      </w:r>
    </w:p>
    <w:tbl>
      <w:tblPr>
        <w:tblStyle w:val="TableGrid"/>
        <w:tblW w:type="dxa" w:w="9648"/>
        <w:jc w:val="left"/>
        <w:tblLayout w:type="fixed"/>
        <w:tblLook w:firstColumn="1" w:firstRow="1" w:lastColumn="0" w:lastRow="0" w:noHBand="0" w:noVBand="1" w:val="04A0"/>
        <w:tblInd w:w="120" w:type="dxa"/>
      </w:tblPr>
      <w:tblGrid>
        <w:gridCol w:w="1512"/>
        <w:gridCol w:w="1728"/>
        <w:gridCol w:w="2376"/>
        <w:gridCol w:w="4032"/>
      </w:tblGrid>
      <w:tr>
        <w:trPr>
          <w:tblHeader w:val="true"/>
          <w:cantSplit/>
        </w:trPr>
        <w:tc>
          <w:tcPr>
            <w:tcW w:type="dxa" w:w="1512"/>
            <w:shd w:fill="18324B"/>
            <w:tcMar>
              <w:top w:w="72" w:type="dxa"/>
              <w:start w:w="90" w:type="dxa"/>
              <w:bottom w:w="72" w:type="dxa"/>
              <w:end w:w="90" w:type="dxa"/>
            </w:tcMar>
            <w:vAlign w:val="center"/>
          </w:tcPr>
          <w:p>
            <w:pPr>
              <w:spacing w:after="0"/>
              <w:jc w:val="center"/>
            </w:pPr>
            <w:r>
              <w:rPr>
                <w:rFonts w:ascii="Aptos" w:hAnsi="Aptos" w:eastAsia="Aptos"/>
                <w:b/>
                <w:color w:val="FFFFFF"/>
                <w:sz w:val="15"/>
              </w:rPr>
              <w:t>Reviewer</w:t>
            </w:r>
          </w:p>
        </w:tc>
        <w:tc>
          <w:tcPr>
            <w:tcW w:type="dxa" w:w="1728"/>
            <w:shd w:fill="18324B"/>
            <w:tcMar>
              <w:top w:w="72" w:type="dxa"/>
              <w:start w:w="90" w:type="dxa"/>
              <w:bottom w:w="72" w:type="dxa"/>
              <w:end w:w="90" w:type="dxa"/>
            </w:tcMar>
            <w:vAlign w:val="center"/>
          </w:tcPr>
          <w:p>
            <w:pPr>
              <w:spacing w:after="0"/>
              <w:jc w:val="center"/>
            </w:pPr>
            <w:r>
              <w:rPr>
                <w:rFonts w:ascii="Aptos" w:hAnsi="Aptos" w:eastAsia="Aptos"/>
                <w:b/>
                <w:color w:val="FFFFFF"/>
                <w:sz w:val="15"/>
              </w:rPr>
              <w:t>Review date</w:t>
            </w:r>
          </w:p>
        </w:tc>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Conclusion</w:t>
            </w:r>
          </w:p>
        </w:tc>
        <w:tc>
          <w:tcPr>
            <w:tcW w:type="dxa" w:w="4032"/>
            <w:shd w:fill="18324B"/>
            <w:tcMar>
              <w:top w:w="72" w:type="dxa"/>
              <w:start w:w="90" w:type="dxa"/>
              <w:bottom w:w="72" w:type="dxa"/>
              <w:end w:w="90" w:type="dxa"/>
            </w:tcMar>
            <w:vAlign w:val="center"/>
          </w:tcPr>
          <w:p>
            <w:pPr>
              <w:spacing w:after="0"/>
              <w:jc w:val="left"/>
            </w:pPr>
            <w:r>
              <w:rPr>
                <w:rFonts w:ascii="Aptos" w:hAnsi="Aptos" w:eastAsia="Aptos"/>
                <w:b/>
                <w:color w:val="FFFFFF"/>
                <w:sz w:val="15"/>
              </w:rPr>
              <w:t>Findings record</w:t>
            </w:r>
          </w:p>
        </w:tc>
      </w:tr>
      <w:tr>
        <w:trPr>
          <w:cantSplit/>
        </w:trPr>
        <w:tc>
          <w:tcPr>
            <w:tcW w:type="dxa" w:w="1512"/>
            <w:tcMar>
              <w:top w:w="72" w:type="dxa"/>
              <w:start w:w="90" w:type="dxa"/>
              <w:bottom w:w="72" w:type="dxa"/>
              <w:end w:w="90" w:type="dxa"/>
            </w:tcMar>
            <w:vAlign w:val="center"/>
          </w:tcPr>
          <w:p>
            <w:pPr>
              <w:spacing w:after="0" w:line="240" w:lineRule="auto"/>
              <w:jc w:val="center"/>
            </w:pPr>
            <w:r>
              <w:rPr>
                <w:rFonts w:ascii="Aptos" w:hAnsi="Aptos" w:eastAsia="Aptos"/>
                <w:sz w:val="15"/>
              </w:rPr>
              <w:t>ChatGPT</w:t>
            </w:r>
          </w:p>
        </w:tc>
        <w:tc>
          <w:tcPr>
            <w:tcW w:type="dxa" w:w="1728"/>
            <w:tcMar>
              <w:top w:w="72" w:type="dxa"/>
              <w:start w:w="90" w:type="dxa"/>
              <w:bottom w:w="72" w:type="dxa"/>
              <w:end w:w="90" w:type="dxa"/>
            </w:tcMar>
            <w:vAlign w:val="center"/>
          </w:tcPr>
          <w:p>
            <w:pPr>
              <w:spacing w:after="0" w:line="240" w:lineRule="auto"/>
              <w:jc w:val="center"/>
            </w:pPr>
            <w:r>
              <w:rPr>
                <w:rFonts w:ascii="Aptos" w:hAnsi="Aptos" w:eastAsia="Aptos"/>
                <w:sz w:val="15"/>
              </w:rPr>
              <w:t>Not applicable</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Document preparation; not independent review</w:t>
            </w:r>
          </w:p>
        </w:tc>
        <w:tc>
          <w:tcPr>
            <w:tcW w:type="dxa" w:w="4032"/>
            <w:tcMar>
              <w:top w:w="72" w:type="dxa"/>
              <w:start w:w="90" w:type="dxa"/>
              <w:bottom w:w="72" w:type="dxa"/>
              <w:end w:w="90" w:type="dxa"/>
            </w:tcMar>
            <w:vAlign w:val="center"/>
          </w:tcPr>
          <w:p>
            <w:pPr>
              <w:spacing w:after="0" w:line="240" w:lineRule="auto"/>
              <w:jc w:val="left"/>
            </w:pPr>
            <w:r>
              <w:rPr>
                <w:rFonts w:ascii="Aptos" w:hAnsi="Aptos" w:eastAsia="Aptos"/>
                <w:sz w:val="15"/>
              </w:rPr>
              <w:t>Prepared the current file. No independent review conclusion is recorded.</w:t>
            </w:r>
          </w:p>
        </w:tc>
      </w:tr>
      <w:tr>
        <w:trPr>
          <w:cantSplit/>
        </w:trPr>
        <w:tc>
          <w:tcPr>
            <w:tcW w:type="dxa" w:w="1512"/>
            <w:tcMar>
              <w:top w:w="72" w:type="dxa"/>
              <w:start w:w="90" w:type="dxa"/>
              <w:bottom w:w="72" w:type="dxa"/>
              <w:end w:w="90" w:type="dxa"/>
            </w:tcMar>
            <w:vAlign w:val="center"/>
            <w:shd w:fill="F3F7FA"/>
          </w:tcPr>
          <w:p>
            <w:pPr>
              <w:spacing w:after="0" w:line="240" w:lineRule="auto"/>
              <w:jc w:val="center"/>
            </w:pPr>
            <w:r>
              <w:rPr>
                <w:rFonts w:ascii="Aptos" w:hAnsi="Aptos" w:eastAsia="Aptos"/>
                <w:sz w:val="15"/>
              </w:rPr>
              <w:t>Claude</w:t>
            </w:r>
          </w:p>
        </w:tc>
        <w:tc>
          <w:tcPr>
            <w:tcW w:type="dxa" w:w="1728"/>
            <w:tcMar>
              <w:top w:w="72" w:type="dxa"/>
              <w:start w:w="90" w:type="dxa"/>
              <w:bottom w:w="72" w:type="dxa"/>
              <w:end w:w="90" w:type="dxa"/>
            </w:tcMar>
            <w:vAlign w:val="center"/>
            <w:shd w:fill="F3F7FA"/>
          </w:tcPr>
          <w:p>
            <w:pPr>
              <w:spacing w:after="0" w:line="240" w:lineRule="auto"/>
              <w:jc w:val="center"/>
            </w:pPr>
            <w:r>
              <w:rPr>
                <w:rFonts w:ascii="Aptos" w:hAnsi="Aptos" w:eastAsia="Aptos"/>
                <w:sz w:val="15"/>
              </w:rPr>
              <w:t>27 July 2026</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Approved subject to two findings</w:t>
            </w:r>
          </w:p>
        </w:tc>
        <w:tc>
          <w:tcPr>
            <w:tcW w:type="dxa" w:w="4032"/>
            <w:tcMar>
              <w:top w:w="72" w:type="dxa"/>
              <w:start w:w="90" w:type="dxa"/>
              <w:bottom w:w="72" w:type="dxa"/>
              <w:end w:w="90" w:type="dxa"/>
            </w:tcMar>
            <w:vAlign w:val="center"/>
            <w:shd w:fill="F3F7FA"/>
          </w:tcPr>
          <w:p>
            <w:pPr>
              <w:spacing w:after="0" w:line="240" w:lineRule="auto"/>
              <w:jc w:val="left"/>
            </w:pPr>
            <w:r>
              <w:rPr>
                <w:rFonts w:ascii="Aptos" w:hAnsi="Aptos" w:eastAsia="Aptos"/>
                <w:sz w:val="15"/>
              </w:rPr>
              <w:t>Identified a historical registry-file provenance issue and the one-hour Trust-Building Handshake classification gap. The current semantic registry rule supersedes the former.</w:t>
            </w:r>
          </w:p>
        </w:tc>
      </w:tr>
      <w:tr>
        <w:trPr>
          <w:cantSplit/>
        </w:trPr>
        <w:tc>
          <w:tcPr>
            <w:tcW w:type="dxa" w:w="1512"/>
            <w:tcMar>
              <w:top w:w="72" w:type="dxa"/>
              <w:start w:w="90" w:type="dxa"/>
              <w:bottom w:w="72" w:type="dxa"/>
              <w:end w:w="90" w:type="dxa"/>
            </w:tcMar>
            <w:vAlign w:val="center"/>
          </w:tcPr>
          <w:p>
            <w:pPr>
              <w:spacing w:after="0" w:line="240" w:lineRule="auto"/>
              <w:jc w:val="center"/>
            </w:pPr>
            <w:r>
              <w:rPr>
                <w:rFonts w:ascii="Aptos" w:hAnsi="Aptos" w:eastAsia="Aptos"/>
                <w:sz w:val="15"/>
              </w:rPr>
              <w:t>Grok/Team</w:t>
            </w:r>
          </w:p>
        </w:tc>
        <w:tc>
          <w:tcPr>
            <w:tcW w:type="dxa" w:w="1728"/>
            <w:tcMar>
              <w:top w:w="72" w:type="dxa"/>
              <w:start w:w="90" w:type="dxa"/>
              <w:bottom w:w="72" w:type="dxa"/>
              <w:end w:w="90" w:type="dxa"/>
            </w:tcMar>
            <w:vAlign w:val="center"/>
          </w:tcPr>
          <w:p>
            <w:pPr>
              <w:spacing w:after="0" w:line="240" w:lineRule="auto"/>
              <w:jc w:val="center"/>
            </w:pPr>
            <w:r>
              <w:rPr>
                <w:rFonts w:ascii="Aptos" w:hAnsi="Aptos" w:eastAsia="Aptos"/>
                <w:sz w:val="15"/>
              </w:rPr>
              <w:t>27 July 2026</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Concurred after Claude's review</w:t>
            </w:r>
          </w:p>
        </w:tc>
        <w:tc>
          <w:tcPr>
            <w:tcW w:type="dxa" w:w="4032"/>
            <w:tcMar>
              <w:top w:w="72" w:type="dxa"/>
              <w:start w:w="90" w:type="dxa"/>
              <w:bottom w:w="72" w:type="dxa"/>
              <w:end w:w="90" w:type="dxa"/>
            </w:tcMar>
            <w:vAlign w:val="center"/>
          </w:tcPr>
          <w:p>
            <w:pPr>
              <w:spacing w:after="0" w:line="240" w:lineRule="auto"/>
              <w:jc w:val="left"/>
            </w:pPr>
            <w:r>
              <w:rPr>
                <w:rFonts w:ascii="Aptos" w:hAnsi="Aptos" w:eastAsia="Aptos"/>
                <w:sz w:val="15"/>
              </w:rPr>
              <w:t>Concurred with both findings after reading Claude's analysis; the findings were not independently discovered.</w:t>
            </w:r>
          </w:p>
        </w:tc>
      </w:tr>
    </w:tbl>
    <w:p>
      <w:pPr>
        <w:spacing w:after="20"/>
      </w:pPr>
    </w:p>
    <w:p>
      <w:r>
        <w:br w:type="page"/>
      </w:r>
    </w:p>
    <w:p>
      <w:pPr>
        <w:pStyle w:val="Heading1"/>
      </w:pPr>
      <w:r>
        <w:t>Table of Contents</w:t>
      </w:r>
    </w:p>
    <w:p>
      <w:pPr>
        <w:spacing w:after="40"/>
        <w:ind w:left="259"/>
      </w:pPr>
      <w:r>
        <w:rPr>
          <w:i w:val="0"/>
        </w:rPr>
        <w:t>0. Authority, Interpretation, and Revision Philosophy</w:t>
      </w:r>
    </w:p>
    <w:p>
      <w:pPr>
        <w:spacing w:after="40"/>
        <w:ind w:left="259"/>
      </w:pPr>
      <w:r>
        <w:rPr>
          <w:i w:val="0"/>
        </w:rPr>
        <w:t>1. Protocol Identity and Purpose</w:t>
      </w:r>
    </w:p>
    <w:p>
      <w:pPr>
        <w:spacing w:after="40"/>
        <w:ind w:left="259"/>
      </w:pPr>
      <w:r>
        <w:rPr>
          <w:i w:val="0"/>
        </w:rPr>
        <w:t>2. Immutable Control Model</w:t>
      </w:r>
    </w:p>
    <w:p>
      <w:pPr>
        <w:spacing w:after="40"/>
        <w:ind w:left="259"/>
      </w:pPr>
      <w:r>
        <w:rPr>
          <w:i w:val="0"/>
        </w:rPr>
        <w:t>3. System Architecture and End-to-End Flow</w:t>
      </w:r>
    </w:p>
    <w:p>
      <w:pPr>
        <w:spacing w:after="40"/>
        <w:ind w:left="259"/>
      </w:pPr>
      <w:r>
        <w:rPr>
          <w:i w:val="0"/>
        </w:rPr>
        <w:t>4. Token System: VCLM, CHONX, and SYNTH</w:t>
      </w:r>
    </w:p>
    <w:p>
      <w:pPr>
        <w:spacing w:after="40"/>
        <w:ind w:left="259"/>
      </w:pPr>
      <w:r>
        <w:rPr>
          <w:i w:val="0"/>
        </w:rPr>
        <w:t>5. Commitment Vault Locks</w:t>
      </w:r>
    </w:p>
    <w:p>
      <w:pPr>
        <w:spacing w:after="40"/>
        <w:ind w:left="259"/>
      </w:pPr>
      <w:r>
        <w:rPr>
          <w:i w:val="0"/>
        </w:rPr>
        <w:t>6. Approved Asset Registry and Asset Classification</w:t>
      </w:r>
    </w:p>
    <w:p>
      <w:pPr>
        <w:spacing w:after="40"/>
        <w:ind w:left="259"/>
      </w:pPr>
      <w:r>
        <w:rPr>
          <w:i w:val="0"/>
        </w:rPr>
        <w:t>7. Price Reference Process</w:t>
      </w:r>
    </w:p>
    <w:p>
      <w:pPr>
        <w:spacing w:after="40"/>
        <w:ind w:left="259"/>
      </w:pPr>
      <w:r>
        <w:rPr>
          <w:i w:val="0"/>
        </w:rPr>
        <w:t>8. Fee Collection and Original-Form Routing</w:t>
      </w:r>
    </w:p>
    <w:p>
      <w:pPr>
        <w:spacing w:after="40"/>
        <w:ind w:left="259"/>
      </w:pPr>
      <w:r>
        <w:rPr>
          <w:i w:val="0"/>
        </w:rPr>
        <w:t>9. Reward-Accounting Credit and Epoch Reward Basis</w:t>
      </w:r>
    </w:p>
    <w:p>
      <w:pPr>
        <w:spacing w:after="40"/>
        <w:ind w:left="259"/>
      </w:pPr>
      <w:r>
        <w:rPr>
          <w:i w:val="0"/>
        </w:rPr>
        <w:t>10. Treasury Reward Stake</w:t>
      </w:r>
    </w:p>
    <w:p>
      <w:pPr>
        <w:spacing w:after="40"/>
        <w:ind w:left="259"/>
      </w:pPr>
      <w:r>
        <w:rPr>
          <w:i w:val="0"/>
        </w:rPr>
        <w:t>11. Cross-Chain and Native-Lock Architecture</w:t>
      </w:r>
    </w:p>
    <w:p>
      <w:pPr>
        <w:spacing w:after="40"/>
        <w:ind w:left="259"/>
      </w:pPr>
      <w:r>
        <w:rPr>
          <w:i w:val="0"/>
        </w:rPr>
        <w:t>12. Commitment Vault Principal Safety, Maturity, and Release</w:t>
      </w:r>
    </w:p>
    <w:p>
      <w:pPr>
        <w:spacing w:after="40"/>
        <w:ind w:left="259"/>
      </w:pPr>
      <w:r>
        <w:rPr>
          <w:i w:val="0"/>
        </w:rPr>
        <w:t>13. Supply Accounting and Activation Gates</w:t>
      </w:r>
    </w:p>
    <w:p>
      <w:pPr>
        <w:spacing w:after="40"/>
        <w:ind w:left="259"/>
      </w:pPr>
      <w:r>
        <w:rPr>
          <w:i w:val="0"/>
        </w:rPr>
        <w:t>14. Security Invariants and Fail-Closed Behavior</w:t>
      </w:r>
    </w:p>
    <w:p>
      <w:pPr>
        <w:spacing w:after="40"/>
        <w:ind w:left="259"/>
      </w:pPr>
      <w:r>
        <w:rPr>
          <w:i w:val="0"/>
        </w:rPr>
        <w:t>15. Deployment, Immutability, and Configuration Finalization</w:t>
      </w:r>
    </w:p>
    <w:p>
      <w:pPr>
        <w:spacing w:after="40"/>
        <w:ind w:left="259"/>
      </w:pPr>
      <w:r>
        <w:rPr>
          <w:i w:val="0"/>
        </w:rPr>
        <w:t>16. Verification, Testing, and Specification Traceability</w:t>
      </w:r>
    </w:p>
    <w:p>
      <w:pPr>
        <w:spacing w:after="40"/>
        <w:ind w:left="259"/>
      </w:pPr>
      <w:r>
        <w:rPr>
          <w:i w:val="0"/>
        </w:rPr>
        <w:t>17. Machine-Readable, Transfer, and Market Representations</w:t>
      </w:r>
    </w:p>
    <w:p>
      <w:pPr>
        <w:spacing w:after="40"/>
        <w:ind w:left="259"/>
      </w:pPr>
      <w:r>
        <w:rPr>
          <w:i w:val="0"/>
        </w:rPr>
        <w:t>18. Explicitly Superseded Concepts</w:t>
      </w:r>
    </w:p>
    <w:p>
      <w:pPr>
        <w:spacing w:after="40"/>
        <w:ind w:left="259"/>
      </w:pPr>
      <w:r>
        <w:rPr>
          <w:i w:val="0"/>
        </w:rPr>
        <w:t>19. Required Architecture Deliverables and Deferred External Inputs</w:t>
      </w:r>
    </w:p>
    <w:p>
      <w:pPr>
        <w:spacing w:after="40"/>
        <w:ind w:left="259"/>
      </w:pPr>
      <w:r>
        <w:rPr>
          <w:i w:val="0"/>
        </w:rPr>
        <w:t>Appendix A. Consolidated Formulas and Schedules</w:t>
      </w:r>
    </w:p>
    <w:p>
      <w:pPr>
        <w:spacing w:after="40"/>
        <w:ind w:left="259"/>
      </w:pPr>
      <w:r>
        <w:rPr>
          <w:i w:val="0"/>
        </w:rPr>
        <w:t>Appendix B. Canonical Terminology</w:t>
      </w:r>
    </w:p>
    <w:p>
      <w:pPr>
        <w:spacing w:after="40"/>
        <w:ind w:left="259"/>
      </w:pPr>
      <w:r>
        <w:rPr>
          <w:i w:val="0"/>
        </w:rPr>
        <w:t>Appendix C. Complete Approved Asset Registry</w:t>
      </w:r>
    </w:p>
    <w:p>
      <w:pPr>
        <w:spacing w:after="40"/>
        <w:ind w:left="259"/>
      </w:pPr>
      <w:r>
        <w:rPr>
          <w:i w:val="0"/>
        </w:rPr>
        <w:t>Appendix D. Revision Control</w:t>
      </w:r>
    </w:p>
    <w:p>
      <w:pPr>
        <w:pStyle w:val="Heading1"/>
      </w:pPr>
      <w:r>
        <w:t>0. Authority, Interpretation, and Revision Philosophy</w:t>
      </w:r>
    </w:p>
    <w:tbl>
      <w:tblPr>
        <w:tblStyle w:val="TableGrid"/>
        <w:tblW w:type="dxa" w:w="9648"/>
        <w:jc w:val="left"/>
        <w:tblLayout w:type="fixed"/>
        <w:tblLook w:firstColumn="1" w:firstRow="1" w:lastColumn="0" w:lastRow="0" w:noHBand="0" w:noVBand="1" w:val="04A0"/>
        <w:tblInd w:w="120" w:type="dxa"/>
      </w:tblPr>
      <w:tblGrid>
        <w:gridCol w:w="9648"/>
      </w:tblGrid>
      <w:tr>
        <w:trPr>
          <w:tblHeader w:val="true"/>
          <w:cantSplit/>
        </w:trPr>
        <w:tc>
          <w:tcPr>
            <w:tcW w:type="dxa" w:w="9648"/>
            <w:shd w:fill="E8F0F7"/>
            <w:tcMar>
              <w:top w:w="105" w:type="dxa"/>
              <w:start w:w="120" w:type="dxa"/>
              <w:bottom w:w="105" w:type="dxa"/>
              <w:end w:w="120" w:type="dxa"/>
            </w:tcMar>
            <w:vAlign w:val="center"/>
          </w:tcPr>
          <w:p>
            <w:pPr>
              <w:spacing w:after="0"/>
            </w:pPr>
            <w:r>
              <w:rPr>
                <w:b/>
                <w:color w:val="111827"/>
              </w:rPr>
              <w:t>CONTROLLING PRINCIPLE</w:t>
            </w:r>
            <w:r>
              <w:br/>
              <w:t>This specification defines the required behavior of Vinculum Finalis. Implementations, tests, websites, diagrams, deployment packages, and AI explanations are correct only when they conform to it.</w:t>
            </w:r>
          </w:p>
        </w:tc>
      </w:tr>
    </w:tbl>
    <w:p>
      <w:pPr>
        <w:spacing w:after="20"/>
      </w:pPr>
    </w:p>
    <w:p>
      <w:pPr>
        <w:pStyle w:val="Heading2"/>
      </w:pPr>
      <w:r>
        <w:t>0.1 The specification governs intended behavior</w:t>
      </w:r>
    </w:p>
    <w:p>
      <w:pPr/>
      <w:r>
        <w:rPr>
          <w:i w:val="0"/>
        </w:rPr>
        <w:t>Vinculum Finalis exists first as a settled system of rules. Code and tests demonstrate implementation behavior; they do not create protocol intent. Historical documents remain useful evidence of prior work but cannot restore behavior superseded by the current specification.</w:t>
      </w:r>
    </w:p>
    <w:p>
      <w:pPr>
        <w:pStyle w:val="Requirement"/>
      </w:pPr>
      <w:r>
        <w:rPr>
          <w:b/>
        </w:rPr>
        <w:t xml:space="preserve">VF-DOC-001: </w:t>
      </w:r>
      <w:r>
        <w:t>The current Master Specification is the sole governing expression of intended protocol behavior.</w:t>
      </w:r>
    </w:p>
    <w:p>
      <w:pPr>
        <w:pStyle w:val="Requirement"/>
      </w:pPr>
      <w:r>
        <w:rPr>
          <w:b/>
        </w:rPr>
        <w:t xml:space="preserve">VF-DOC-002: </w:t>
      </w:r>
      <w:r>
        <w:t>Code, tests, deployment scripts, websites, and historical artifacts must conform to the specification; their existence does not alter it.</w:t>
      </w:r>
    </w:p>
    <w:p>
      <w:pPr>
        <w:pStyle w:val="Requirement"/>
      </w:pPr>
      <w:r>
        <w:rPr>
          <w:b/>
        </w:rPr>
        <w:t xml:space="preserve">VF-DOC-003: </w:t>
      </w:r>
      <w:r>
        <w:t>A conversation, AI answer, issue, code comment, or prior document does not change protocol behavior unless the change is incorporated into a later Master Specification revision.</w:t>
      </w:r>
    </w:p>
    <w:p>
      <w:pPr>
        <w:pStyle w:val="Requirement"/>
      </w:pPr>
      <w:r>
        <w:rPr>
          <w:b/>
        </w:rPr>
        <w:t xml:space="preserve">VF-DOC-004: </w:t>
      </w:r>
      <w:r>
        <w:t>When the specification is silent or ambiguous, the matter must be identified rather than resolved through an unstated conventional assumption.</w:t>
      </w:r>
    </w:p>
    <w:p>
      <w:pPr>
        <w:pStyle w:val="Heading2"/>
      </w:pPr>
      <w:r>
        <w:t>0.2 Revision discipline</w:t>
      </w:r>
    </w:p>
    <w:p>
      <w:pPr/>
      <w:r>
        <w:rPr>
          <w:i w:val="0"/>
        </w:rPr>
        <w:t>Each current revision is read as a complete document. Prior revisions are historical records, not alternate authorities. Substantive changes require deliberate incorporation into a later revision with an explanation in Revision Control.</w:t>
      </w:r>
    </w:p>
    <w:p>
      <w:pPr>
        <w:pStyle w:val="Requirement"/>
      </w:pPr>
      <w:r>
        <w:rPr>
          <w:b/>
        </w:rPr>
        <w:t xml:space="preserve">VF-DOC-005: </w:t>
      </w:r>
      <w:r>
        <w:t>The revision designation appears only in Appendix D, Revision Control.</w:t>
      </w:r>
    </w:p>
    <w:p>
      <w:pPr>
        <w:pStyle w:val="Requirement"/>
      </w:pPr>
      <w:r>
        <w:rPr>
          <w:b/>
        </w:rPr>
        <w:t xml:space="preserve">VF-DOC-006: </w:t>
      </w:r>
      <w:r>
        <w:t>A later revision completely supersedes earlier revisions as the operational statement of intent.</w:t>
      </w:r>
    </w:p>
    <w:p>
      <w:pPr>
        <w:pStyle w:val="Requirement"/>
      </w:pPr>
      <w:r>
        <w:rPr>
          <w:b/>
        </w:rPr>
        <w:t xml:space="preserve">VF-DOC-007: </w:t>
      </w:r>
      <w:r>
        <w:t>Every material mechanism must state its trigger, inputs, outputs, success conditions, rejection conditions, relationships, and permissible authority.</w:t>
      </w:r>
    </w:p>
    <w:p>
      <w:pPr>
        <w:pStyle w:val="Heading2"/>
      </w:pPr>
      <w:r>
        <w:t>0.3 Independent review</w:t>
      </w:r>
    </w:p>
    <w:p>
      <w:pPr/>
      <w:r>
        <w:rPr>
          <w:i w:val="0"/>
        </w:rPr>
        <w:t>Independent AI or human review can expose contradictions, omissions, and implementation risks. It is evidence of review quality, not a source of protocol authority.</w:t>
      </w:r>
    </w:p>
    <w:p>
      <w:pPr>
        <w:pStyle w:val="Requirement"/>
      </w:pPr>
      <w:r>
        <w:rPr>
          <w:b/>
        </w:rPr>
        <w:t xml:space="preserve">VF-DOC-008: </w:t>
      </w:r>
      <w:r>
        <w:t>A recorded independent review identifies the exact reviewed file, review date, conclusion, and findings.</w:t>
      </w:r>
    </w:p>
    <w:p>
      <w:pPr>
        <w:pStyle w:val="Requirement"/>
      </w:pPr>
      <w:r>
        <w:rPr>
          <w:b/>
        </w:rPr>
        <w:t xml:space="preserve">VF-DOC-009: </w:t>
      </w:r>
      <w:r>
        <w:t>No AI reviewer may approve, amend, complete, or reinterpret protocol behavior through agreement with another reviewer.</w:t>
      </w:r>
    </w:p>
    <w:p>
      <w:pPr>
        <w:pStyle w:val="Requirement"/>
      </w:pPr>
      <w:r>
        <w:rPr>
          <w:b/>
        </w:rPr>
        <w:t xml:space="preserve">VF-DOC-010: </w:t>
      </w:r>
      <w:r>
        <w:t>Independent implementations derived only from this specification must be functionally equivalent in every defined circumstance.</w:t>
      </w:r>
    </w:p>
    <w:p>
      <w:pPr>
        <w:pStyle w:val="Heading1"/>
      </w:pPr>
      <w:r>
        <w:t>1. Protocol Identity and Purpose</w:t>
      </w:r>
    </w:p>
    <w:p>
      <w:pPr/>
      <w:r>
        <w:rPr>
          <w:i w:val="0"/>
        </w:rPr>
        <w:t>Vinculum Finalis is a permanently immutable, multi-chain commitment protocol. A user may create a Commitment Vault Lock using an approved asset on its supported source blockchain and receive a calculated quantity of VCLM or, after activation, CHONX on Base. The source asset remains on its original blockchain for the entire Commitment Vault Lock.</w:t>
      </w:r>
    </w:p>
    <w:p>
      <w:pPr>
        <w:pStyle w:val="Heading2"/>
      </w:pPr>
      <w:r>
        <w:t>1.1 Intended outcomes</w:t>
      </w:r>
    </w:p>
    <w:p>
      <w:pPr>
        <w:pStyle w:val="ListBullet"/>
      </w:pPr>
      <w:r>
        <w:rPr>
          <w:i w:val="0"/>
        </w:rPr>
        <w:t>Connect many separate asset communities through one commitment system.</w:t>
      </w:r>
    </w:p>
    <w:p>
      <w:pPr>
        <w:pStyle w:val="ListBullet"/>
      </w:pPr>
      <w:r>
        <w:rPr>
          <w:i w:val="0"/>
        </w:rPr>
        <w:t>Allow users to retain their original assets rather than trade, wrap, or bridge them as part of the Commitment Vault Lock.</w:t>
      </w:r>
    </w:p>
    <w:p>
      <w:pPr>
        <w:pStyle w:val="ListBullet"/>
      </w:pPr>
      <w:r>
        <w:rPr>
          <w:i w:val="0"/>
        </w:rPr>
        <w:t>Recognize measurable time commitment through fixed issuance schedules.</w:t>
      </w:r>
    </w:p>
    <w:p>
      <w:pPr>
        <w:pStyle w:val="ListBullet"/>
      </w:pPr>
      <w:r>
        <w:rPr>
          <w:i w:val="0"/>
        </w:rPr>
        <w:t>Create a phased three-token economy in which VCLM precedes CHONX and SYNTH is forged from both.</w:t>
      </w:r>
    </w:p>
    <w:p>
      <w:pPr>
        <w:pStyle w:val="ListBullet"/>
      </w:pPr>
      <w:r>
        <w:rPr>
          <w:i w:val="0"/>
        </w:rPr>
        <w:t>Create fee-indexed VCLM rewards through deterministic Reward-Accounting Credits and Treasury Reward Stake Weight.</w:t>
      </w:r>
    </w:p>
    <w:p>
      <w:pPr>
        <w:pStyle w:val="ListBullet"/>
      </w:pPr>
      <w:r>
        <w:rPr>
          <w:i w:val="0"/>
        </w:rPr>
        <w:t>Eliminate post-deployment governance, upgrades, discretionary parameter changes, and value redirection.</w:t>
      </w:r>
    </w:p>
    <w:p>
      <w:pPr>
        <w:pStyle w:val="Heading2"/>
      </w:pPr>
      <w:r>
        <w:t>1.2 Broad participation without asset disparagement</w:t>
      </w:r>
    </w:p>
    <w:p>
      <w:pPr/>
      <w:r>
        <w:rPr>
          <w:i w:val="0"/>
        </w:rPr>
        <w:t>The 1,001-asset registry allows many communities to participate. The higher S1 and S2 issuance multipliers recognize defined operational advantages: stable-denominated value, clearer valuation, mature infrastructure, simpler accounting and handling, and reduced operational risk under immutable rules. S3 remains a complete standard participation path. The classifications do not imply that S3 assets or their communities are weaker, inferior, or less legitimate.</w:t>
      </w:r>
    </w:p>
    <w:p>
      <w:pPr>
        <w:pStyle w:val="Heading1"/>
      </w:pPr>
      <w:r>
        <w:t>2. Immutable Control Model</w:t>
      </w:r>
    </w:p>
    <w:p>
      <w:pPr/>
      <w:r>
        <w:rPr>
          <w:i w:val="0"/>
        </w:rPr>
        <w:t>Vinculum Finalis is deployed once and then operates only through fixed rules. The absence of continuing control is a defining architectural choice rather than an incomplete governance design.</w:t>
      </w:r>
    </w:p>
    <w:p>
      <w:pPr>
        <w:pStyle w:val="Requirement"/>
      </w:pPr>
      <w:r>
        <w:rPr>
          <w:b/>
        </w:rPr>
        <w:t xml:space="preserve">VF-IMM-001: </w:t>
      </w:r>
      <w:r>
        <w:t>After deployment there is no governance, proposal system, voting system, council, administrator, owner role, upgrade authority, proxy administrator, pause authority, emergency role, rescue role, or discretionary parameter-setting authority.</w:t>
      </w:r>
    </w:p>
    <w:p>
      <w:pPr>
        <w:pStyle w:val="Requirement"/>
      </w:pPr>
      <w:r>
        <w:rPr>
          <w:b/>
        </w:rPr>
        <w:t xml:space="preserve">VF-IMM-002: </w:t>
      </w:r>
      <w:r>
        <w:t>No person, multisignature wallet, organization, AI agent, or implementer may alter protocol economics or redirect protocol-controlled value after finalization.</w:t>
      </w:r>
    </w:p>
    <w:p>
      <w:pPr>
        <w:pStyle w:val="Requirement"/>
      </w:pPr>
      <w:r>
        <w:rPr>
          <w:b/>
        </w:rPr>
        <w:t xml:space="preserve">VF-IMM-003: </w:t>
      </w:r>
      <w:r>
        <w:t>Every permissible post-deployment movement of value must arise from fixed and explicit deployed logic.</w:t>
      </w:r>
    </w:p>
    <w:p>
      <w:pPr>
        <w:pStyle w:val="Requirement"/>
      </w:pPr>
      <w:r>
        <w:rPr>
          <w:b/>
        </w:rPr>
        <w:t xml:space="preserve">VF-IMM-004: </w:t>
      </w:r>
      <w:r>
        <w:t>No temporary control may remain after finalization on the theory that it will be removed later.</w:t>
      </w:r>
    </w:p>
    <w:p>
      <w:pPr>
        <w:pStyle w:val="Requirement"/>
      </w:pPr>
      <w:r>
        <w:rPr>
          <w:b/>
        </w:rPr>
        <w:t xml:space="preserve">VF-IMM-005: </w:t>
      </w:r>
      <w:r>
        <w:t>Failure of an external dependency must prevent unsafe new issuance without preventing release of matured Commitment Vault principal.</w:t>
      </w:r>
    </w:p>
    <w:p>
      <w:pPr>
        <w:pStyle w:val="Requirement"/>
      </w:pPr>
      <w:r>
        <w:rPr>
          <w:b/>
        </w:rPr>
        <w:t xml:space="preserve">VF-IMM-006: </w:t>
      </w:r>
      <w:r>
        <w:t>The inability to repair a deployed defect is an accepted consequence of eliminating post-deployment control.</w:t>
      </w:r>
    </w:p>
    <w:p>
      <w:pPr>
        <w:pStyle w:val="Heading1"/>
      </w:pPr>
      <w:r>
        <w:t>3. System Architecture and End-to-End Flow</w:t>
      </w:r>
    </w:p>
    <w:p>
      <w:pPr>
        <w:pStyle w:val="Heading2"/>
      </w:pPr>
      <w:r>
        <w:t>3.1 Base and supported source environments</w:t>
      </w:r>
    </w:p>
    <w:p>
      <w:pPr/>
      <w:r>
        <w:rPr>
          <w:i w:val="0"/>
        </w:rPr>
        <w:t>Base is the canonical issuance and accounting blockchain for VCLM, CHONX, and SYNTH. Approved assets originate across the 17 supported blockchain environments listed in Section 11. Source principal does not move to Base. Verified information about a completed Commitment Vault Lock authorizes the corresponding Base-chain issuance.</w:t>
      </w:r>
    </w:p>
    <w:p>
      <w:pPr>
        <w:pStyle w:val="Heading2"/>
      </w:pPr>
      <w:r>
        <w:t>3.2 End-to-end Commitment Vault Lock flow</w:t>
      </w:r>
    </w:p>
    <w:p>
      <w:pPr>
        <w:pStyle w:val="ListNumber"/>
      </w:pPr>
      <w:r>
        <w:rPr>
          <w:i w:val="0"/>
        </w:rPr>
        <w:t>The user selects an approved source asset, a nonzero amount, a permitted duration, one currently available output token, and one valid Base-chain recipient.</w:t>
      </w:r>
    </w:p>
    <w:p>
      <w:pPr>
        <w:pStyle w:val="ListNumber"/>
      </w:pPr>
      <w:r>
        <w:rPr>
          <w:i w:val="0"/>
        </w:rPr>
        <w:t>Before assets move, the source application performs every available registry, amount, price-reference, output-availability, fee, and recipient preflight check.</w:t>
      </w:r>
    </w:p>
    <w:p>
      <w:pPr>
        <w:pStyle w:val="ListNumber"/>
      </w:pPr>
      <w:r>
        <w:rPr>
          <w:i w:val="0"/>
        </w:rPr>
        <w:t>The source mechanism transfers the actual rounded fee to the fixed Dev Fund destination in the original asset and places the remaining principal into the source-chain Commitment Vault Lock.</w:t>
      </w:r>
    </w:p>
    <w:p>
      <w:pPr>
        <w:pStyle w:val="ListNumber"/>
      </w:pPr>
      <w:r>
        <w:rPr>
          <w:i w:val="0"/>
        </w:rPr>
        <w:t>The Commitment Vault Lock reaches the deterministic finality condition required for that source environment.</w:t>
      </w:r>
    </w:p>
    <w:p>
      <w:pPr>
        <w:pStyle w:val="ListNumber"/>
      </w:pPr>
      <w:r>
        <w:rPr>
          <w:i w:val="0"/>
        </w:rPr>
        <w:t>A normalized proof or attestation binds the completed source event and all data required by Section 11.</w:t>
      </w:r>
    </w:p>
    <w:p>
      <w:pPr>
        <w:pStyle w:val="ListNumber"/>
      </w:pPr>
      <w:r>
        <w:rPr>
          <w:i w:val="0"/>
        </w:rPr>
        <w:t>The Base verification layer validates source finality, registry identity, fee routing, price record, output eligibility, lifetime capacity, recipient binding, and replay protection.</w:t>
      </w:r>
    </w:p>
    <w:p>
      <w:pPr>
        <w:pStyle w:val="ListNumber"/>
      </w:pPr>
      <w:r>
        <w:rPr>
          <w:i w:val="0"/>
        </w:rPr>
        <w:t>After successful verification, the complete calculated quantity of exactly one selected output token - VCLM or activated CHONX - is issued to the bound Base-chain recipient. The same Commitment Vault Lock never produces both.</w:t>
      </w:r>
    </w:p>
    <w:p>
      <w:pPr>
        <w:pStyle w:val="ListNumber"/>
      </w:pPr>
      <w:r>
        <w:rPr>
          <w:i w:val="0"/>
        </w:rPr>
        <w:t>At maturity, the user who created the Commitment Vault Lock may reclaim the remaining source-chain principal independently of Base issuance or any external service.</w:t>
      </w:r>
    </w:p>
    <w:p>
      <w:pPr>
        <w:pStyle w:val="Heading2"/>
      </w:pPr>
      <w:r>
        <w:t>3.3 Separation of mechanisms</w:t>
      </w:r>
    </w:p>
    <w:tbl>
      <w:tblPr>
        <w:tblStyle w:val="TableGrid"/>
        <w:tblW w:type="dxa" w:w="9648"/>
        <w:jc w:val="left"/>
        <w:tblLayout w:type="fixed"/>
        <w:tblLook w:firstColumn="1" w:firstRow="1" w:lastColumn="0" w:lastRow="0" w:noHBand="0" w:noVBand="1" w:val="04A0"/>
        <w:tblInd w:w="120" w:type="dxa"/>
      </w:tblPr>
      <w:tblGrid>
        <w:gridCol w:w="2088"/>
        <w:gridCol w:w="2088"/>
        <w:gridCol w:w="3672"/>
        <w:gridCol w:w="1800"/>
      </w:tblGrid>
      <w:tr>
        <w:trPr>
          <w:tblHeader w:val="true"/>
          <w:cantSplit/>
        </w:trPr>
        <w:tc>
          <w:tcPr>
            <w:tcW w:type="dxa" w:w="2088"/>
            <w:shd w:fill="18324B"/>
            <w:tcMar>
              <w:top w:w="72" w:type="dxa"/>
              <w:start w:w="90" w:type="dxa"/>
              <w:bottom w:w="72" w:type="dxa"/>
              <w:end w:w="90" w:type="dxa"/>
            </w:tcMar>
            <w:vAlign w:val="center"/>
          </w:tcPr>
          <w:p>
            <w:pPr>
              <w:spacing w:after="0"/>
              <w:jc w:val="left"/>
            </w:pPr>
            <w:r>
              <w:rPr>
                <w:rFonts w:ascii="Aptos" w:hAnsi="Aptos" w:eastAsia="Aptos"/>
                <w:b/>
                <w:color w:val="FFFFFF"/>
                <w:sz w:val="16"/>
              </w:rPr>
              <w:t>Mechanism</w:t>
            </w:r>
          </w:p>
        </w:tc>
        <w:tc>
          <w:tcPr>
            <w:tcW w:type="dxa" w:w="2088"/>
            <w:shd w:fill="18324B"/>
            <w:tcMar>
              <w:top w:w="72" w:type="dxa"/>
              <w:start w:w="90" w:type="dxa"/>
              <w:bottom w:w="72" w:type="dxa"/>
              <w:end w:w="90" w:type="dxa"/>
            </w:tcMar>
            <w:vAlign w:val="center"/>
          </w:tcPr>
          <w:p>
            <w:pPr>
              <w:spacing w:after="0"/>
              <w:jc w:val="left"/>
            </w:pPr>
            <w:r>
              <w:rPr>
                <w:rFonts w:ascii="Aptos" w:hAnsi="Aptos" w:eastAsia="Aptos"/>
                <w:b/>
                <w:color w:val="FFFFFF"/>
                <w:sz w:val="16"/>
              </w:rPr>
              <w:t>Accepted assets</w:t>
            </w:r>
          </w:p>
        </w:tc>
        <w:tc>
          <w:tcPr>
            <w:tcW w:type="dxa" w:w="3672"/>
            <w:shd w:fill="18324B"/>
            <w:tcMar>
              <w:top w:w="72" w:type="dxa"/>
              <w:start w:w="90" w:type="dxa"/>
              <w:bottom w:w="72" w:type="dxa"/>
              <w:end w:w="90" w:type="dxa"/>
            </w:tcMar>
            <w:vAlign w:val="center"/>
          </w:tcPr>
          <w:p>
            <w:pPr>
              <w:spacing w:after="0"/>
              <w:jc w:val="left"/>
            </w:pPr>
            <w:r>
              <w:rPr>
                <w:rFonts w:ascii="Aptos" w:hAnsi="Aptos" w:eastAsia="Aptos"/>
                <w:b/>
                <w:color w:val="FFFFFF"/>
                <w:sz w:val="16"/>
              </w:rPr>
              <w:t>Purpose</w:t>
            </w:r>
          </w:p>
        </w:tc>
        <w:tc>
          <w:tcPr>
            <w:tcW w:type="dxa" w:w="1800"/>
            <w:shd w:fill="18324B"/>
            <w:tcMar>
              <w:top w:w="72" w:type="dxa"/>
              <w:start w:w="90" w:type="dxa"/>
              <w:bottom w:w="72" w:type="dxa"/>
              <w:end w:w="90" w:type="dxa"/>
            </w:tcMar>
            <w:vAlign w:val="center"/>
          </w:tcPr>
          <w:p>
            <w:pPr>
              <w:spacing w:after="0"/>
              <w:jc w:val="left"/>
            </w:pPr>
            <w:r>
              <w:rPr>
                <w:rFonts w:ascii="Aptos" w:hAnsi="Aptos" w:eastAsia="Aptos"/>
                <w:b/>
                <w:color w:val="FFFFFF"/>
                <w:sz w:val="16"/>
              </w:rPr>
              <w:t>Renewable</w:t>
            </w:r>
          </w:p>
        </w:tc>
      </w:tr>
      <w:tr>
        <w:trPr>
          <w:cantSplit/>
        </w:trPr>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6"/>
              </w:rPr>
              <w:t>Commitment Vault Lock</w:t>
            </w:r>
          </w:p>
        </w:tc>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6"/>
              </w:rPr>
              <w:t>Approved external assets</w:t>
            </w:r>
          </w:p>
        </w:tc>
        <w:tc>
          <w:tcPr>
            <w:tcW w:type="dxa" w:w="3672"/>
            <w:tcMar>
              <w:top w:w="72" w:type="dxa"/>
              <w:start w:w="90" w:type="dxa"/>
              <w:bottom w:w="72" w:type="dxa"/>
              <w:end w:w="90" w:type="dxa"/>
            </w:tcMar>
            <w:vAlign w:val="center"/>
          </w:tcPr>
          <w:p>
            <w:pPr>
              <w:spacing w:after="0" w:line="240" w:lineRule="auto"/>
              <w:jc w:val="left"/>
            </w:pPr>
            <w:r>
              <w:rPr>
                <w:rFonts w:ascii="Aptos" w:hAnsi="Aptos" w:eastAsia="Aptos"/>
                <w:sz w:val="16"/>
              </w:rPr>
              <w:t>Issue VCLM or activated CHONX</w:t>
            </w:r>
          </w:p>
        </w:tc>
        <w:tc>
          <w:tcPr>
            <w:tcW w:type="dxa" w:w="1800"/>
            <w:tcMar>
              <w:top w:w="72" w:type="dxa"/>
              <w:start w:w="90" w:type="dxa"/>
              <w:bottom w:w="72" w:type="dxa"/>
              <w:end w:w="90" w:type="dxa"/>
            </w:tcMar>
            <w:vAlign w:val="center"/>
          </w:tcPr>
          <w:p>
            <w:pPr>
              <w:spacing w:after="0" w:line="240" w:lineRule="auto"/>
              <w:jc w:val="left"/>
            </w:pPr>
            <w:r>
              <w:rPr>
                <w:rFonts w:ascii="Aptos" w:hAnsi="Aptos" w:eastAsia="Aptos"/>
                <w:sz w:val="16"/>
              </w:rPr>
              <w:t>No</w:t>
            </w:r>
          </w:p>
        </w:tc>
      </w:tr>
      <w:tr>
        <w:trPr>
          <w:cantSplit/>
        </w:trPr>
        <w:tc>
          <w:tcPr>
            <w:tcW w:type="dxa" w:w="2088"/>
            <w:tcMar>
              <w:top w:w="72" w:type="dxa"/>
              <w:start w:w="90" w:type="dxa"/>
              <w:bottom w:w="72" w:type="dxa"/>
              <w:end w:w="90" w:type="dxa"/>
            </w:tcMar>
            <w:vAlign w:val="center"/>
            <w:shd w:fill="F3F7FA"/>
          </w:tcPr>
          <w:p>
            <w:pPr>
              <w:spacing w:after="0" w:line="240" w:lineRule="auto"/>
              <w:jc w:val="left"/>
            </w:pPr>
            <w:r>
              <w:rPr>
                <w:rFonts w:ascii="Aptos" w:hAnsi="Aptos" w:eastAsia="Aptos"/>
                <w:sz w:val="16"/>
              </w:rPr>
              <w:t>Treasury Reward Stake</w:t>
            </w:r>
          </w:p>
        </w:tc>
        <w:tc>
          <w:tcPr>
            <w:tcW w:type="dxa" w:w="2088"/>
            <w:tcMar>
              <w:top w:w="72" w:type="dxa"/>
              <w:start w:w="90" w:type="dxa"/>
              <w:bottom w:w="72" w:type="dxa"/>
              <w:end w:w="90" w:type="dxa"/>
            </w:tcMar>
            <w:vAlign w:val="center"/>
            <w:shd w:fill="F3F7FA"/>
          </w:tcPr>
          <w:p>
            <w:pPr>
              <w:spacing w:after="0" w:line="240" w:lineRule="auto"/>
              <w:jc w:val="left"/>
            </w:pPr>
            <w:r>
              <w:rPr>
                <w:rFonts w:ascii="Aptos" w:hAnsi="Aptos" w:eastAsia="Aptos"/>
                <w:sz w:val="16"/>
              </w:rPr>
              <w:t>VCLM, CHONX, SYNTH</w:t>
            </w:r>
          </w:p>
        </w:tc>
        <w:tc>
          <w:tcPr>
            <w:tcW w:type="dxa" w:w="3672"/>
            <w:tcMar>
              <w:top w:w="72" w:type="dxa"/>
              <w:start w:w="90" w:type="dxa"/>
              <w:bottom w:w="72" w:type="dxa"/>
              <w:end w:w="90" w:type="dxa"/>
            </w:tcMar>
            <w:vAlign w:val="center"/>
            <w:shd w:fill="F3F7FA"/>
          </w:tcPr>
          <w:p>
            <w:pPr>
              <w:spacing w:after="0" w:line="240" w:lineRule="auto"/>
              <w:jc w:val="left"/>
            </w:pPr>
            <w:r>
              <w:rPr>
                <w:rFonts w:ascii="Aptos" w:hAnsi="Aptos" w:eastAsia="Aptos"/>
                <w:sz w:val="16"/>
              </w:rPr>
              <w:t>Earn a proportional share of VCLM rewards</w:t>
            </w:r>
          </w:p>
        </w:tc>
        <w:tc>
          <w:tcPr>
            <w:tcW w:type="dxa" w:w="1800"/>
            <w:tcMar>
              <w:top w:w="72" w:type="dxa"/>
              <w:start w:w="90" w:type="dxa"/>
              <w:bottom w:w="72" w:type="dxa"/>
              <w:end w:w="90" w:type="dxa"/>
            </w:tcMar>
            <w:vAlign w:val="center"/>
            <w:shd w:fill="F3F7FA"/>
          </w:tcPr>
          <w:p>
            <w:pPr>
              <w:spacing w:after="0" w:line="240" w:lineRule="auto"/>
              <w:jc w:val="left"/>
            </w:pPr>
            <w:r>
              <w:rPr>
                <w:rFonts w:ascii="Aptos" w:hAnsi="Aptos" w:eastAsia="Aptos"/>
                <w:sz w:val="16"/>
              </w:rPr>
              <w:t>Manual future terms may be queued</w:t>
            </w:r>
          </w:p>
        </w:tc>
      </w:tr>
      <w:tr>
        <w:trPr>
          <w:cantSplit/>
        </w:trPr>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6"/>
              </w:rPr>
              <w:t>SYNTH Forge</w:t>
            </w:r>
          </w:p>
        </w:tc>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6"/>
              </w:rPr>
              <w:t>VCLM and CHONX</w:t>
            </w:r>
          </w:p>
        </w:tc>
        <w:tc>
          <w:tcPr>
            <w:tcW w:type="dxa" w:w="3672"/>
            <w:tcMar>
              <w:top w:w="72" w:type="dxa"/>
              <w:start w:w="90" w:type="dxa"/>
              <w:bottom w:w="72" w:type="dxa"/>
              <w:end w:w="90" w:type="dxa"/>
            </w:tcMar>
            <w:vAlign w:val="center"/>
          </w:tcPr>
          <w:p>
            <w:pPr>
              <w:spacing w:after="0" w:line="240" w:lineRule="auto"/>
              <w:jc w:val="left"/>
            </w:pPr>
            <w:r>
              <w:rPr>
                <w:rFonts w:ascii="Aptos" w:hAnsi="Aptos" w:eastAsia="Aptos"/>
                <w:sz w:val="16"/>
              </w:rPr>
              <w:t>Burn both inputs to forge SYNTH</w:t>
            </w:r>
          </w:p>
        </w:tc>
        <w:tc>
          <w:tcPr>
            <w:tcW w:type="dxa" w:w="1800"/>
            <w:tcMar>
              <w:top w:w="72" w:type="dxa"/>
              <w:start w:w="90" w:type="dxa"/>
              <w:bottom w:w="72" w:type="dxa"/>
              <w:end w:w="90" w:type="dxa"/>
            </w:tcMar>
            <w:vAlign w:val="center"/>
          </w:tcPr>
          <w:p>
            <w:pPr>
              <w:spacing w:after="0" w:line="240" w:lineRule="auto"/>
              <w:jc w:val="left"/>
            </w:pPr>
            <w:r>
              <w:rPr>
                <w:rFonts w:ascii="Aptos" w:hAnsi="Aptos" w:eastAsia="Aptos"/>
                <w:sz w:val="16"/>
              </w:rPr>
              <w:t>Not applicable</w:t>
            </w:r>
          </w:p>
        </w:tc>
      </w:tr>
    </w:tbl>
    <w:p>
      <w:pPr>
        <w:spacing w:after="20"/>
      </w:pPr>
    </w:p>
    <w:p>
      <w:pPr>
        <w:pStyle w:val="Requirement"/>
      </w:pPr>
      <w:r>
        <w:rPr>
          <w:b/>
        </w:rPr>
        <w:t xml:space="preserve">VF-ARC-001: </w:t>
      </w:r>
      <w:r>
        <w:t>Base is the canonical issuance and accounting blockchain for all three protocol tokens.</w:t>
      </w:r>
    </w:p>
    <w:p>
      <w:pPr>
        <w:pStyle w:val="Requirement"/>
      </w:pPr>
      <w:r>
        <w:rPr>
          <w:b/>
        </w:rPr>
        <w:t xml:space="preserve">VF-ARC-002: </w:t>
      </w:r>
      <w:r>
        <w:t>Commitment Vault principal remains on its supported source blockchain.</w:t>
      </w:r>
    </w:p>
    <w:p>
      <w:pPr>
        <w:pStyle w:val="Requirement"/>
      </w:pPr>
      <w:r>
        <w:rPr>
          <w:b/>
        </w:rPr>
        <w:t xml:space="preserve">VF-ARC-003: </w:t>
      </w:r>
      <w:r>
        <w:t>One Commitment Vault Lock authorizes no more than one selected protocol-token output.</w:t>
      </w:r>
    </w:p>
    <w:p>
      <w:pPr>
        <w:pStyle w:val="Requirement"/>
      </w:pPr>
      <w:r>
        <w:rPr>
          <w:b/>
        </w:rPr>
        <w:t xml:space="preserve">VF-ARC-004: </w:t>
      </w:r>
      <w:r>
        <w:t>A known-invalid Commitment Vault Lock request must be rejected before fee or principal assets move whenever the source environment can determine the invalidity.</w:t>
      </w:r>
    </w:p>
    <w:p>
      <w:pPr>
        <w:pStyle w:val="Requirement"/>
      </w:pPr>
      <w:r>
        <w:rPr>
          <w:b/>
        </w:rPr>
        <w:t xml:space="preserve">VF-ARC-005: </w:t>
      </w:r>
      <w:r>
        <w:t>Proof submission or retry cannot change the source event, output token, recipient, valuation, duration, or maturity.</w:t>
      </w:r>
    </w:p>
    <w:p>
      <w:pPr>
        <w:pStyle w:val="Requirement"/>
      </w:pPr>
      <w:r>
        <w:rPr>
          <w:b/>
        </w:rPr>
        <w:t xml:space="preserve">VF-ARC-006: </w:t>
      </w:r>
      <w:r>
        <w:t>The Base-chain recipient may differ from the source-chain wallet, but it must be a valid nonzero address authorized by the source user and bound when the Commitment Vault Lock is created.</w:t>
      </w:r>
    </w:p>
    <w:p>
      <w:pPr>
        <w:pStyle w:val="Heading1"/>
      </w:pPr>
      <w:r>
        <w:t>4. Token System: VCLM, CHONX, and SYNTH</w:t>
      </w:r>
    </w:p>
    <w:tbl>
      <w:tblPr>
        <w:tblStyle w:val="TableGrid"/>
        <w:tblW w:type="dxa" w:w="9648"/>
        <w:jc w:val="left"/>
        <w:tblLayout w:type="fixed"/>
        <w:tblLook w:firstColumn="1" w:firstRow="1" w:lastColumn="0" w:lastRow="0" w:noHBand="0" w:noVBand="1" w:val="04A0"/>
        <w:tblInd w:w="120" w:type="dxa"/>
      </w:tblPr>
      <w:tblGrid>
        <w:gridCol w:w="1080"/>
        <w:gridCol w:w="1800"/>
        <w:gridCol w:w="3096"/>
        <w:gridCol w:w="3672"/>
      </w:tblGrid>
      <w:tr>
        <w:trPr>
          <w:tblHeader w:val="true"/>
          <w:cantSplit/>
        </w:trPr>
        <w:tc>
          <w:tcPr>
            <w:tcW w:type="dxa" w:w="1080"/>
            <w:shd w:fill="18324B"/>
            <w:tcMar>
              <w:top w:w="72" w:type="dxa"/>
              <w:start w:w="90" w:type="dxa"/>
              <w:bottom w:w="72" w:type="dxa"/>
              <w:end w:w="90" w:type="dxa"/>
            </w:tcMar>
            <w:vAlign w:val="center"/>
          </w:tcPr>
          <w:p>
            <w:pPr>
              <w:spacing w:after="0"/>
              <w:jc w:val="center"/>
            </w:pPr>
            <w:r>
              <w:rPr>
                <w:rFonts w:ascii="Aptos" w:hAnsi="Aptos" w:eastAsia="Aptos"/>
                <w:b/>
                <w:color w:val="FFFFFF"/>
                <w:sz w:val="15"/>
              </w:rPr>
              <w:t>Token</w:t>
            </w:r>
          </w:p>
        </w:tc>
        <w:tc>
          <w:tcPr>
            <w:tcW w:type="dxa" w:w="1800"/>
            <w:shd w:fill="18324B"/>
            <w:tcMar>
              <w:top w:w="72" w:type="dxa"/>
              <w:start w:w="90" w:type="dxa"/>
              <w:bottom w:w="72" w:type="dxa"/>
              <w:end w:w="90" w:type="dxa"/>
            </w:tcMar>
            <w:vAlign w:val="center"/>
          </w:tcPr>
          <w:p>
            <w:pPr>
              <w:spacing w:after="0"/>
              <w:jc w:val="center"/>
            </w:pPr>
            <w:r>
              <w:rPr>
                <w:rFonts w:ascii="Aptos" w:hAnsi="Aptos" w:eastAsia="Aptos"/>
                <w:b/>
                <w:color w:val="FFFFFF"/>
                <w:sz w:val="15"/>
              </w:rPr>
              <w:t>Lifetime hard cap</w:t>
            </w:r>
          </w:p>
        </w:tc>
        <w:tc>
          <w:tcPr>
            <w:tcW w:type="dxa" w:w="3096"/>
            <w:shd w:fill="18324B"/>
            <w:tcMar>
              <w:top w:w="72" w:type="dxa"/>
              <w:start w:w="90" w:type="dxa"/>
              <w:bottom w:w="72" w:type="dxa"/>
              <w:end w:w="90" w:type="dxa"/>
            </w:tcMar>
            <w:vAlign w:val="center"/>
          </w:tcPr>
          <w:p>
            <w:pPr>
              <w:spacing w:after="0"/>
              <w:jc w:val="left"/>
            </w:pPr>
            <w:r>
              <w:rPr>
                <w:rFonts w:ascii="Aptos" w:hAnsi="Aptos" w:eastAsia="Aptos"/>
                <w:b/>
                <w:color w:val="FFFFFF"/>
                <w:sz w:val="15"/>
              </w:rPr>
              <w:t>Availability</w:t>
            </w:r>
          </w:p>
        </w:tc>
        <w:tc>
          <w:tcPr>
            <w:tcW w:type="dxa" w:w="3672"/>
            <w:shd w:fill="18324B"/>
            <w:tcMar>
              <w:top w:w="72" w:type="dxa"/>
              <w:start w:w="90" w:type="dxa"/>
              <w:bottom w:w="72" w:type="dxa"/>
              <w:end w:w="90" w:type="dxa"/>
            </w:tcMar>
            <w:vAlign w:val="center"/>
          </w:tcPr>
          <w:p>
            <w:pPr>
              <w:spacing w:after="0"/>
              <w:jc w:val="left"/>
            </w:pPr>
            <w:r>
              <w:rPr>
                <w:rFonts w:ascii="Aptos" w:hAnsi="Aptos" w:eastAsia="Aptos"/>
                <w:b/>
                <w:color w:val="FFFFFF"/>
                <w:sz w:val="15"/>
              </w:rPr>
              <w:t>Authorized creation</w:t>
            </w:r>
          </w:p>
        </w:tc>
      </w:tr>
      <w:tr>
        <w:trPr>
          <w:cantSplit/>
        </w:trPr>
        <w:tc>
          <w:tcPr>
            <w:tcW w:type="dxa" w:w="1080"/>
            <w:tcMar>
              <w:top w:w="72" w:type="dxa"/>
              <w:start w:w="90" w:type="dxa"/>
              <w:bottom w:w="72" w:type="dxa"/>
              <w:end w:w="90" w:type="dxa"/>
            </w:tcMar>
            <w:vAlign w:val="center"/>
          </w:tcPr>
          <w:p>
            <w:pPr>
              <w:spacing w:after="0" w:line="240" w:lineRule="auto"/>
              <w:jc w:val="center"/>
            </w:pPr>
            <w:r>
              <w:rPr>
                <w:rFonts w:ascii="Aptos" w:hAnsi="Aptos" w:eastAsia="Aptos"/>
                <w:sz w:val="15"/>
              </w:rPr>
              <w:t>VCLM</w:t>
            </w:r>
          </w:p>
        </w:tc>
        <w:tc>
          <w:tcPr>
            <w:tcW w:type="dxa" w:w="1800"/>
            <w:tcMar>
              <w:top w:w="72" w:type="dxa"/>
              <w:start w:w="90" w:type="dxa"/>
              <w:bottom w:w="72" w:type="dxa"/>
              <w:end w:w="90" w:type="dxa"/>
            </w:tcMar>
            <w:vAlign w:val="center"/>
          </w:tcPr>
          <w:p>
            <w:pPr>
              <w:spacing w:after="0" w:line="240" w:lineRule="auto"/>
              <w:jc w:val="center"/>
            </w:pPr>
            <w:r>
              <w:rPr>
                <w:rFonts w:ascii="Aptos" w:hAnsi="Aptos" w:eastAsia="Aptos"/>
                <w:sz w:val="15"/>
              </w:rPr>
              <w:t>10,000,000,000</w:t>
            </w:r>
          </w:p>
        </w:tc>
        <w:tc>
          <w:tcPr>
            <w:tcW w:type="dxa" w:w="3096"/>
            <w:tcMar>
              <w:top w:w="72" w:type="dxa"/>
              <w:start w:w="90" w:type="dxa"/>
              <w:bottom w:w="72" w:type="dxa"/>
              <w:end w:w="90" w:type="dxa"/>
            </w:tcMar>
            <w:vAlign w:val="center"/>
          </w:tcPr>
          <w:p>
            <w:pPr>
              <w:spacing w:after="0" w:line="240" w:lineRule="auto"/>
              <w:jc w:val="left"/>
            </w:pPr>
            <w:r>
              <w:rPr>
                <w:rFonts w:ascii="Aptos" w:hAnsi="Aptos" w:eastAsia="Aptos"/>
                <w:sz w:val="15"/>
              </w:rPr>
              <w:t>Protocol launch</w:t>
            </w:r>
          </w:p>
        </w:tc>
        <w:tc>
          <w:tcPr>
            <w:tcW w:type="dxa" w:w="3672"/>
            <w:tcMar>
              <w:top w:w="72" w:type="dxa"/>
              <w:start w:w="90" w:type="dxa"/>
              <w:bottom w:w="72" w:type="dxa"/>
              <w:end w:w="90" w:type="dxa"/>
            </w:tcMar>
            <w:vAlign w:val="center"/>
          </w:tcPr>
          <w:p>
            <w:pPr>
              <w:spacing w:after="0" w:line="240" w:lineRule="auto"/>
              <w:jc w:val="left"/>
            </w:pPr>
            <w:r>
              <w:rPr>
                <w:rFonts w:ascii="Aptos" w:hAnsi="Aptos" w:eastAsia="Aptos"/>
                <w:sz w:val="15"/>
              </w:rPr>
              <w:t>Verified Commitment Vault Locks and Treasury Reward Stake rewards</w:t>
            </w:r>
          </w:p>
        </w:tc>
      </w:tr>
      <w:tr>
        <w:trPr>
          <w:cantSplit/>
        </w:trPr>
        <w:tc>
          <w:tcPr>
            <w:tcW w:type="dxa" w:w="1080"/>
            <w:tcMar>
              <w:top w:w="72" w:type="dxa"/>
              <w:start w:w="90" w:type="dxa"/>
              <w:bottom w:w="72" w:type="dxa"/>
              <w:end w:w="90" w:type="dxa"/>
            </w:tcMar>
            <w:vAlign w:val="center"/>
            <w:shd w:fill="F3F7FA"/>
          </w:tcPr>
          <w:p>
            <w:pPr>
              <w:spacing w:after="0" w:line="240" w:lineRule="auto"/>
              <w:jc w:val="center"/>
            </w:pPr>
            <w:r>
              <w:rPr>
                <w:rFonts w:ascii="Aptos" w:hAnsi="Aptos" w:eastAsia="Aptos"/>
                <w:sz w:val="15"/>
              </w:rPr>
              <w:t>CHONX</w:t>
            </w:r>
          </w:p>
        </w:tc>
        <w:tc>
          <w:tcPr>
            <w:tcW w:type="dxa" w:w="1800"/>
            <w:tcMar>
              <w:top w:w="72" w:type="dxa"/>
              <w:start w:w="90" w:type="dxa"/>
              <w:bottom w:w="72" w:type="dxa"/>
              <w:end w:w="90" w:type="dxa"/>
            </w:tcMar>
            <w:vAlign w:val="center"/>
            <w:shd w:fill="F3F7FA"/>
          </w:tcPr>
          <w:p>
            <w:pPr>
              <w:spacing w:after="0" w:line="240" w:lineRule="auto"/>
              <w:jc w:val="center"/>
            </w:pPr>
            <w:r>
              <w:rPr>
                <w:rFonts w:ascii="Aptos" w:hAnsi="Aptos" w:eastAsia="Aptos"/>
                <w:sz w:val="15"/>
              </w:rPr>
              <w:t>100,000,000,000</w:t>
            </w:r>
          </w:p>
        </w:tc>
        <w:tc>
          <w:tcPr>
            <w:tcW w:type="dxa" w:w="3096"/>
            <w:tcMar>
              <w:top w:w="72" w:type="dxa"/>
              <w:start w:w="90" w:type="dxa"/>
              <w:bottom w:w="72" w:type="dxa"/>
              <w:end w:w="90" w:type="dxa"/>
            </w:tcMar>
            <w:vAlign w:val="center"/>
            <w:shd w:fill="F3F7FA"/>
          </w:tcPr>
          <w:p>
            <w:pPr>
              <w:spacing w:after="0" w:line="240" w:lineRule="auto"/>
              <w:jc w:val="left"/>
            </w:pPr>
            <w:r>
              <w:rPr>
                <w:rFonts w:ascii="Aptos" w:hAnsi="Aptos" w:eastAsia="Aptos"/>
                <w:sz w:val="15"/>
              </w:rPr>
              <w:t>After 10,000,000 cumulative lifetime VCLM issuance</w:t>
            </w:r>
          </w:p>
        </w:tc>
        <w:tc>
          <w:tcPr>
            <w:tcW w:type="dxa" w:w="3672"/>
            <w:tcMar>
              <w:top w:w="72" w:type="dxa"/>
              <w:start w:w="90" w:type="dxa"/>
              <w:bottom w:w="72" w:type="dxa"/>
              <w:end w:w="90" w:type="dxa"/>
            </w:tcMar>
            <w:vAlign w:val="center"/>
            <w:shd w:fill="F3F7FA"/>
          </w:tcPr>
          <w:p>
            <w:pPr>
              <w:spacing w:after="0" w:line="240" w:lineRule="auto"/>
              <w:jc w:val="left"/>
            </w:pPr>
            <w:r>
              <w:rPr>
                <w:rFonts w:ascii="Aptos" w:hAnsi="Aptos" w:eastAsia="Aptos"/>
                <w:sz w:val="15"/>
              </w:rPr>
              <w:t>Verified Commitment Vault Locks after activation</w:t>
            </w:r>
          </w:p>
        </w:tc>
      </w:tr>
      <w:tr>
        <w:trPr>
          <w:cantSplit/>
        </w:trPr>
        <w:tc>
          <w:tcPr>
            <w:tcW w:type="dxa" w:w="1080"/>
            <w:tcMar>
              <w:top w:w="72" w:type="dxa"/>
              <w:start w:w="90" w:type="dxa"/>
              <w:bottom w:w="72" w:type="dxa"/>
              <w:end w:w="90" w:type="dxa"/>
            </w:tcMar>
            <w:vAlign w:val="center"/>
          </w:tcPr>
          <w:p>
            <w:pPr>
              <w:spacing w:after="0" w:line="240" w:lineRule="auto"/>
              <w:jc w:val="center"/>
            </w:pPr>
            <w:r>
              <w:rPr>
                <w:rFonts w:ascii="Aptos" w:hAnsi="Aptos" w:eastAsia="Aptos"/>
                <w:sz w:val="15"/>
              </w:rPr>
              <w:t>SYNTH</w:t>
            </w:r>
          </w:p>
        </w:tc>
        <w:tc>
          <w:tcPr>
            <w:tcW w:type="dxa" w:w="1800"/>
            <w:tcMar>
              <w:top w:w="72" w:type="dxa"/>
              <w:start w:w="90" w:type="dxa"/>
              <w:bottom w:w="72" w:type="dxa"/>
              <w:end w:w="90" w:type="dxa"/>
            </w:tcMar>
            <w:vAlign w:val="center"/>
          </w:tcPr>
          <w:p>
            <w:pPr>
              <w:spacing w:after="0" w:line="240" w:lineRule="auto"/>
              <w:jc w:val="center"/>
            </w:pPr>
            <w:r>
              <w:rPr>
                <w:rFonts w:ascii="Aptos" w:hAnsi="Aptos" w:eastAsia="Aptos"/>
                <w:sz w:val="15"/>
              </w:rPr>
              <w:t>10,000,000</w:t>
            </w:r>
          </w:p>
        </w:tc>
        <w:tc>
          <w:tcPr>
            <w:tcW w:type="dxa" w:w="3096"/>
            <w:tcMar>
              <w:top w:w="72" w:type="dxa"/>
              <w:start w:w="90" w:type="dxa"/>
              <w:bottom w:w="72" w:type="dxa"/>
              <w:end w:w="90" w:type="dxa"/>
            </w:tcMar>
            <w:vAlign w:val="center"/>
          </w:tcPr>
          <w:p>
            <w:pPr>
              <w:spacing w:after="0" w:line="240" w:lineRule="auto"/>
              <w:jc w:val="left"/>
            </w:pPr>
            <w:r>
              <w:rPr>
                <w:rFonts w:ascii="Aptos" w:hAnsi="Aptos" w:eastAsia="Aptos"/>
                <w:sz w:val="15"/>
              </w:rPr>
              <w:t>After 100,000,000 cumulative lifetime CHONX issuance</w:t>
            </w:r>
          </w:p>
        </w:tc>
        <w:tc>
          <w:tcPr>
            <w:tcW w:type="dxa" w:w="3672"/>
            <w:tcMar>
              <w:top w:w="72" w:type="dxa"/>
              <w:start w:w="90" w:type="dxa"/>
              <w:bottom w:w="72" w:type="dxa"/>
              <w:end w:w="90" w:type="dxa"/>
            </w:tcMar>
            <w:vAlign w:val="center"/>
          </w:tcPr>
          <w:p>
            <w:pPr>
              <w:spacing w:after="0" w:line="240" w:lineRule="auto"/>
              <w:jc w:val="left"/>
            </w:pPr>
            <w:r>
              <w:rPr>
                <w:rFonts w:ascii="Aptos" w:hAnsi="Aptos" w:eastAsia="Aptos"/>
                <w:sz w:val="15"/>
              </w:rPr>
              <w:t>Forge by burning 1,000 VCLM and 10,000 CHONX for each SYNTH</w:t>
            </w:r>
          </w:p>
        </w:tc>
      </w:tr>
    </w:tbl>
    <w:p>
      <w:pPr>
        <w:spacing w:after="20"/>
      </w:pPr>
    </w:p>
    <w:p>
      <w:pPr>
        <w:pStyle w:val="Heading2"/>
      </w:pPr>
      <w:r>
        <w:t>4.1 Token roles and creation</w:t>
      </w:r>
    </w:p>
    <w:p>
      <w:pPr/>
      <w:r>
        <w:rPr>
          <w:i w:val="0"/>
        </w:rPr>
        <w:t>VCLM is available from launch and is the sole Treasury Reward Stake reward currency. CHONX is a separate Commitment Vault Lock output that becomes available only after its VCLM activation threshold. SYNTH is never a Commitment Vault Lock output and is forged only through the one-way destruction of both lower-tier protocol tokens.</w:t>
      </w:r>
    </w:p>
    <w:p>
      <w:pPr>
        <w:pStyle w:val="Requirement"/>
      </w:pPr>
      <w:r>
        <w:rPr>
          <w:b/>
        </w:rPr>
        <w:t xml:space="preserve">VF-TOK-001: </w:t>
      </w:r>
      <w:r>
        <w:t>VCLM, CHONX, and SYNTH each use 18 decimal places.</w:t>
      </w:r>
    </w:p>
    <w:p>
      <w:pPr>
        <w:pStyle w:val="Requirement"/>
      </w:pPr>
      <w:r>
        <w:rPr>
          <w:b/>
        </w:rPr>
        <w:t xml:space="preserve">VF-TOK-002: </w:t>
      </w:r>
      <w:r>
        <w:t>CHONX activation is permanent when cumulative lifetime VCLM issuance reaches 10,000,000.</w:t>
      </w:r>
    </w:p>
    <w:p>
      <w:pPr>
        <w:pStyle w:val="Requirement"/>
      </w:pPr>
      <w:r>
        <w:rPr>
          <w:b/>
        </w:rPr>
        <w:t xml:space="preserve">VF-TOK-003: </w:t>
      </w:r>
      <w:r>
        <w:t>SYNTH activation is permanent when cumulative lifetime CHONX issuance reaches 100,000,000.</w:t>
      </w:r>
    </w:p>
    <w:p>
      <w:pPr>
        <w:pStyle w:val="Requirement"/>
      </w:pPr>
      <w:r>
        <w:rPr>
          <w:b/>
        </w:rPr>
        <w:t xml:space="preserve">VF-TOK-004: </w:t>
      </w:r>
      <w:r>
        <w:t>Forging one SYNTH permanently destroys exactly 1,000 VCLM and 10,000 CHONX.</w:t>
      </w:r>
    </w:p>
    <w:p>
      <w:pPr>
        <w:pStyle w:val="Requirement"/>
      </w:pPr>
      <w:r>
        <w:rPr>
          <w:b/>
        </w:rPr>
        <w:t xml:space="preserve">VF-TOK-005: </w:t>
      </w:r>
      <w:r>
        <w:t>The SYNTH Forge is one-way and has no reversal, redemption, or administrative restoration path.</w:t>
      </w:r>
    </w:p>
    <w:p>
      <w:pPr>
        <w:pStyle w:val="Requirement"/>
      </w:pPr>
      <w:r>
        <w:rPr>
          <w:b/>
        </w:rPr>
        <w:t xml:space="preserve">VF-TOK-006: </w:t>
      </w:r>
      <w:r>
        <w:t>SYNTH is never issued from a Commitment Vault Lock.</w:t>
      </w:r>
    </w:p>
    <w:p>
      <w:pPr>
        <w:pStyle w:val="Requirement"/>
      </w:pPr>
      <w:r>
        <w:rPr>
          <w:b/>
        </w:rPr>
        <w:t xml:space="preserve">VF-TOK-007: </w:t>
      </w:r>
      <w:r>
        <w:t>VCLM, CHONX, and SYNTH are prohibited Commitment Vault Lock inputs.</w:t>
      </w:r>
    </w:p>
    <w:p>
      <w:pPr>
        <w:pStyle w:val="Heading2"/>
      </w:pPr>
      <w:r>
        <w:t>4.2 Issuance references and discrete decay</w:t>
      </w:r>
    </w:p>
    <w:tbl>
      <w:tblPr>
        <w:tblStyle w:val="TableGrid"/>
        <w:tblW w:type="dxa" w:w="9648"/>
        <w:jc w:val="left"/>
        <w:tblLayout w:type="fixed"/>
        <w:tblLook w:firstColumn="1" w:firstRow="1" w:lastColumn="0" w:lastRow="0" w:noHBand="0" w:noVBand="1" w:val="04A0"/>
        <w:tblInd w:w="120" w:type="dxa"/>
      </w:tblPr>
      <w:tblGrid>
        <w:gridCol w:w="1008"/>
        <w:gridCol w:w="1656"/>
        <w:gridCol w:w="2376"/>
        <w:gridCol w:w="2232"/>
        <w:gridCol w:w="2376"/>
      </w:tblGrid>
      <w:tr>
        <w:trPr>
          <w:tblHeader w:val="true"/>
          <w:cantSplit/>
        </w:trPr>
        <w:tc>
          <w:tcPr>
            <w:tcW w:type="dxa" w:w="1008"/>
            <w:shd w:fill="18324B"/>
            <w:tcMar>
              <w:top w:w="72" w:type="dxa"/>
              <w:start w:w="90" w:type="dxa"/>
              <w:bottom w:w="72" w:type="dxa"/>
              <w:end w:w="90" w:type="dxa"/>
            </w:tcMar>
            <w:vAlign w:val="center"/>
          </w:tcPr>
          <w:p>
            <w:pPr>
              <w:spacing w:after="0"/>
              <w:jc w:val="center"/>
            </w:pPr>
            <w:r>
              <w:rPr>
                <w:rFonts w:ascii="Aptos" w:hAnsi="Aptos" w:eastAsia="Aptos"/>
                <w:b/>
                <w:color w:val="FFFFFF"/>
                <w:sz w:val="15"/>
              </w:rPr>
              <w:t>Output</w:t>
            </w:r>
          </w:p>
        </w:tc>
        <w:tc>
          <w:tcPr>
            <w:tcW w:type="dxa" w:w="1656"/>
            <w:shd w:fill="18324B"/>
            <w:tcMar>
              <w:top w:w="72" w:type="dxa"/>
              <w:start w:w="90" w:type="dxa"/>
              <w:bottom w:w="72" w:type="dxa"/>
              <w:end w:w="90" w:type="dxa"/>
            </w:tcMar>
            <w:vAlign w:val="center"/>
          </w:tcPr>
          <w:p>
            <w:pPr>
              <w:spacing w:after="0"/>
              <w:jc w:val="center"/>
            </w:pPr>
            <w:r>
              <w:rPr>
                <w:rFonts w:ascii="Aptos" w:hAnsi="Aptos" w:eastAsia="Aptos"/>
                <w:b/>
                <w:color w:val="FFFFFF"/>
                <w:sz w:val="15"/>
              </w:rPr>
              <w:t>Protocol reference</w:t>
            </w:r>
          </w:p>
        </w:tc>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Initial rate</w:t>
            </w:r>
          </w:p>
        </w:tc>
        <w:tc>
          <w:tcPr>
            <w:tcW w:type="dxa" w:w="2232"/>
            <w:shd w:fill="18324B"/>
            <w:tcMar>
              <w:top w:w="72" w:type="dxa"/>
              <w:start w:w="90" w:type="dxa"/>
              <w:bottom w:w="72" w:type="dxa"/>
              <w:end w:w="90" w:type="dxa"/>
            </w:tcMar>
            <w:vAlign w:val="center"/>
          </w:tcPr>
          <w:p>
            <w:pPr>
              <w:spacing w:after="0"/>
              <w:jc w:val="left"/>
            </w:pPr>
            <w:r>
              <w:rPr>
                <w:rFonts w:ascii="Aptos" w:hAnsi="Aptos" w:eastAsia="Aptos"/>
                <w:b/>
                <w:color w:val="FFFFFF"/>
                <w:sz w:val="15"/>
              </w:rPr>
              <w:t>30-day decay</w:t>
            </w:r>
          </w:p>
        </w:tc>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Permanent floor</w:t>
            </w:r>
          </w:p>
        </w:tc>
      </w:tr>
      <w:tr>
        <w:trPr>
          <w:cantSplit/>
        </w:trPr>
        <w:tc>
          <w:tcPr>
            <w:tcW w:type="dxa" w:w="1008"/>
            <w:tcMar>
              <w:top w:w="72" w:type="dxa"/>
              <w:start w:w="90" w:type="dxa"/>
              <w:bottom w:w="72" w:type="dxa"/>
              <w:end w:w="90" w:type="dxa"/>
            </w:tcMar>
            <w:vAlign w:val="center"/>
          </w:tcPr>
          <w:p>
            <w:pPr>
              <w:spacing w:after="0" w:line="240" w:lineRule="auto"/>
              <w:jc w:val="center"/>
            </w:pPr>
            <w:r>
              <w:rPr>
                <w:rFonts w:ascii="Aptos" w:hAnsi="Aptos" w:eastAsia="Aptos"/>
                <w:sz w:val="15"/>
              </w:rPr>
              <w:t>VCLM</w:t>
            </w:r>
          </w:p>
        </w:tc>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5"/>
              </w:rPr>
              <w:t>$0.10</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10 VCLM per $1.00</w:t>
            </w:r>
          </w:p>
        </w:tc>
        <w:tc>
          <w:tcPr>
            <w:tcW w:type="dxa" w:w="2232"/>
            <w:tcMar>
              <w:top w:w="72" w:type="dxa"/>
              <w:start w:w="90" w:type="dxa"/>
              <w:bottom w:w="72" w:type="dxa"/>
              <w:end w:w="90" w:type="dxa"/>
            </w:tcMar>
            <w:vAlign w:val="center"/>
          </w:tcPr>
          <w:p>
            <w:pPr>
              <w:spacing w:after="0" w:line="240" w:lineRule="auto"/>
              <w:jc w:val="left"/>
            </w:pPr>
            <w:r>
              <w:rPr>
                <w:rFonts w:ascii="Aptos" w:hAnsi="Aptos" w:eastAsia="Aptos"/>
                <w:sz w:val="15"/>
              </w:rPr>
              <w:t>1.667% compounded</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1 VCLM per $1.00</w:t>
            </w:r>
          </w:p>
        </w:tc>
      </w:tr>
      <w:tr>
        <w:trPr>
          <w:cantSplit/>
        </w:trPr>
        <w:tc>
          <w:tcPr>
            <w:tcW w:type="dxa" w:w="1008"/>
            <w:tcMar>
              <w:top w:w="72" w:type="dxa"/>
              <w:start w:w="90" w:type="dxa"/>
              <w:bottom w:w="72" w:type="dxa"/>
              <w:end w:w="90" w:type="dxa"/>
            </w:tcMar>
            <w:vAlign w:val="center"/>
            <w:shd w:fill="F3F7FA"/>
          </w:tcPr>
          <w:p>
            <w:pPr>
              <w:spacing w:after="0" w:line="240" w:lineRule="auto"/>
              <w:jc w:val="center"/>
            </w:pPr>
            <w:r>
              <w:rPr>
                <w:rFonts w:ascii="Aptos" w:hAnsi="Aptos" w:eastAsia="Aptos"/>
                <w:sz w:val="15"/>
              </w:rPr>
              <w:t>CHONX</w:t>
            </w:r>
          </w:p>
        </w:tc>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5"/>
              </w:rPr>
              <w:t>$0.01</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100 CHONX per $1.00</w:t>
            </w:r>
          </w:p>
        </w:tc>
        <w:tc>
          <w:tcPr>
            <w:tcW w:type="dxa" w:w="2232"/>
            <w:tcMar>
              <w:top w:w="72" w:type="dxa"/>
              <w:start w:w="90" w:type="dxa"/>
              <w:bottom w:w="72" w:type="dxa"/>
              <w:end w:w="90" w:type="dxa"/>
            </w:tcMar>
            <w:vAlign w:val="center"/>
            <w:shd w:fill="F3F7FA"/>
          </w:tcPr>
          <w:p>
            <w:pPr>
              <w:spacing w:after="0" w:line="240" w:lineRule="auto"/>
              <w:jc w:val="left"/>
            </w:pPr>
            <w:r>
              <w:rPr>
                <w:rFonts w:ascii="Aptos" w:hAnsi="Aptos" w:eastAsia="Aptos"/>
                <w:sz w:val="15"/>
              </w:rPr>
              <w:t>1.667% compounded</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10 CHONX per $1.00</w:t>
            </w:r>
          </w:p>
        </w:tc>
      </w:tr>
    </w:tbl>
    <w:p>
      <w:pPr>
        <w:spacing w:after="20"/>
      </w:pPr>
    </w:p>
    <w:p>
      <w:pPr>
        <w:spacing w:before="80" w:after="140"/>
        <w:jc w:val="center"/>
      </w:pPr>
      <w:r>
        <w:rPr>
          <w:b/>
          <w:color w:val="18324B"/>
        </w:rPr>
        <w:t>Current rate = max(initial rate x (1 - 0.01667)^n, permanent floor)</w:t>
      </w:r>
    </w:p>
    <w:p>
      <w:pPr/>
      <w:r>
        <w:rPr>
          <w:i w:val="0"/>
        </w:rPr>
        <w:t>For VCLM, n is the number of complete 30-day periods elapsed since protocol launch. For CHONX, n is the number of complete 30-day periods elapsed since CHONX activation. The clocks are independent. A partially completed 30-day period does not advance either schedule.</w:t>
      </w:r>
    </w:p>
    <w:p>
      <w:pPr>
        <w:pStyle w:val="Requirement"/>
      </w:pPr>
      <w:r>
        <w:rPr>
          <w:b/>
        </w:rPr>
        <w:t xml:space="preserve">VF-TOK-008: </w:t>
      </w:r>
      <w:r>
        <w:t>VCLM decay begins at protocol launch; CHONX decay begins at CHONX activation.</w:t>
      </w:r>
    </w:p>
    <w:p>
      <w:pPr>
        <w:pStyle w:val="Requirement"/>
      </w:pPr>
      <w:r>
        <w:rPr>
          <w:b/>
        </w:rPr>
        <w:t xml:space="preserve">VF-TOK-009: </w:t>
      </w:r>
      <w:r>
        <w:t>Each decay schedule advances only after a complete fixed 30-day period.</w:t>
      </w:r>
    </w:p>
    <w:p>
      <w:pPr>
        <w:pStyle w:val="Requirement"/>
      </w:pPr>
      <w:r>
        <w:rPr>
          <w:b/>
        </w:rPr>
        <w:t xml:space="preserve">VF-TOK-010: </w:t>
      </w:r>
      <w:r>
        <w:t>Decay arithmetic rounds down at each 30-day calculation step.</w:t>
      </w:r>
    </w:p>
    <w:p>
      <w:pPr>
        <w:pStyle w:val="Requirement"/>
      </w:pPr>
      <w:r>
        <w:rPr>
          <w:b/>
        </w:rPr>
        <w:t xml:space="preserve">VF-TOK-011: </w:t>
      </w:r>
      <w:r>
        <w:t>Asset and Commitment Vault Lock duration multipliers apply after the applicable time-dependent emission rate and do not alter the decay schedule.</w:t>
      </w:r>
    </w:p>
    <w:p>
      <w:pPr>
        <w:pStyle w:val="Requirement"/>
      </w:pPr>
      <w:r>
        <w:rPr>
          <w:b/>
        </w:rPr>
        <w:t xml:space="preserve">VF-TOK-012: </w:t>
      </w:r>
      <w:r>
        <w:t>Protocol reference values are issuance references, not exchange prices, redemption promises, or guarantees of market value.</w:t>
      </w:r>
    </w:p>
    <w:p>
      <w:pPr>
        <w:pStyle w:val="Heading2"/>
      </w:pPr>
      <w:r>
        <w:t>4.3 Transferability and external markets</w:t>
      </w:r>
    </w:p>
    <w:p>
      <w:pPr/>
      <w:r>
        <w:rPr>
          <w:i w:val="0"/>
        </w:rPr>
        <w:t>VCLM, CHONX, and SYNTH are transferable. Users may establish external liquidity venues where technically and legally available. It is a goal of Vinculum Finalis to pursue and obtain centralized and decentralized exchange listings as resources, eligibility, and opportunity permit.</w:t>
      </w:r>
    </w:p>
    <w:p>
      <w:pPr>
        <w:pStyle w:val="Requirement"/>
      </w:pPr>
      <w:r>
        <w:rPr>
          <w:b/>
        </w:rPr>
        <w:t xml:space="preserve">VF-TOK-013: </w:t>
      </w:r>
      <w:r>
        <w:t>The protocol imposes no transfer tax, allowlist, denylist, administrator freeze, or protocol-level trading restriction on VCLM, CHONX, or SYNTH.</w:t>
      </w:r>
    </w:p>
    <w:p>
      <w:pPr>
        <w:pStyle w:val="Requirement"/>
      </w:pPr>
      <w:r>
        <w:rPr>
          <w:b/>
        </w:rPr>
        <w:t xml:space="preserve">VF-TOK-014: </w:t>
      </w:r>
      <w:r>
        <w:t>An external market or liquidity venue does not alter issuance, supply, reward, activation, or Commitment Vault Lock rules.</w:t>
      </w:r>
    </w:p>
    <w:p>
      <w:pPr>
        <w:pStyle w:val="Requirement"/>
      </w:pPr>
      <w:r>
        <w:rPr>
          <w:b/>
        </w:rPr>
        <w:t xml:space="preserve">VF-TOK-015: </w:t>
      </w:r>
      <w:r>
        <w:t>No exchange listing, liquidity level, market price, redemption value, or appreciation is guaranteed.</w:t>
      </w:r>
    </w:p>
    <w:p>
      <w:pPr>
        <w:pStyle w:val="Heading1"/>
      </w:pPr>
      <w:r>
        <w:t>5. Commitment Vault Locks</w:t>
      </w:r>
    </w:p>
    <w:p>
      <w:pPr/>
      <w:r>
        <w:rPr>
          <w:i w:val="0"/>
        </w:rPr>
        <w:t>A Commitment Vault Lock is a single, non-renewable source-chain timelock of an approved external asset. It charges the applicable fee, isolates the remaining principal until maturity, and authorizes exactly one VCLM or activated CHONX output after successful Base verification.</w:t>
      </w:r>
    </w:p>
    <w:p>
      <w:pPr>
        <w:pStyle w:val="Heading2"/>
      </w:pPr>
      <w:r>
        <w:t>5.1 Permitted durations and multipliers</w:t>
      </w:r>
    </w:p>
    <w:tbl>
      <w:tblPr>
        <w:tblStyle w:val="TableGrid"/>
        <w:tblW w:type="dxa" w:w="9648"/>
        <w:jc w:val="left"/>
        <w:tblLayout w:type="fixed"/>
        <w:tblLook w:firstColumn="1" w:firstRow="1" w:lastColumn="0" w:lastRow="0" w:noHBand="0" w:noVBand="1" w:val="04A0"/>
        <w:tblInd w:w="120" w:type="dxa"/>
      </w:tblPr>
      <w:tblGrid>
        <w:gridCol w:w="1656"/>
        <w:gridCol w:w="5976"/>
        <w:gridCol w:w="2016"/>
      </w:tblGrid>
      <w:tr>
        <w:trPr>
          <w:tblHeader w:val="true"/>
          <w:cantSplit/>
        </w:trPr>
        <w:tc>
          <w:tcPr>
            <w:tcW w:type="dxa" w:w="1656"/>
            <w:shd w:fill="18324B"/>
            <w:tcMar>
              <w:top w:w="72" w:type="dxa"/>
              <w:start w:w="90" w:type="dxa"/>
              <w:bottom w:w="72" w:type="dxa"/>
              <w:end w:w="90" w:type="dxa"/>
            </w:tcMar>
            <w:vAlign w:val="center"/>
          </w:tcPr>
          <w:p>
            <w:pPr>
              <w:spacing w:after="0"/>
              <w:jc w:val="center"/>
            </w:pPr>
            <w:r>
              <w:rPr>
                <w:rFonts w:ascii="Aptos" w:hAnsi="Aptos" w:eastAsia="Aptos"/>
                <w:b/>
                <w:color w:val="FFFFFF"/>
                <w:sz w:val="16"/>
              </w:rPr>
              <w:t>Duration</w:t>
            </w:r>
          </w:p>
        </w:tc>
        <w:tc>
          <w:tcPr>
            <w:tcW w:type="dxa" w:w="5976"/>
            <w:shd w:fill="18324B"/>
            <w:tcMar>
              <w:top w:w="72" w:type="dxa"/>
              <w:start w:w="90" w:type="dxa"/>
              <w:bottom w:w="72" w:type="dxa"/>
              <w:end w:w="90" w:type="dxa"/>
            </w:tcMar>
            <w:vAlign w:val="center"/>
          </w:tcPr>
          <w:p>
            <w:pPr>
              <w:spacing w:after="0"/>
              <w:jc w:val="left"/>
            </w:pPr>
            <w:r>
              <w:rPr>
                <w:rFonts w:ascii="Aptos" w:hAnsi="Aptos" w:eastAsia="Aptos"/>
                <w:b/>
                <w:color w:val="FFFFFF"/>
                <w:sz w:val="16"/>
              </w:rPr>
              <w:t>Role</w:t>
            </w:r>
          </w:p>
        </w:tc>
        <w:tc>
          <w:tcPr>
            <w:tcW w:type="dxa" w:w="2016"/>
            <w:shd w:fill="18324B"/>
            <w:tcMar>
              <w:top w:w="72" w:type="dxa"/>
              <w:start w:w="90" w:type="dxa"/>
              <w:bottom w:w="72" w:type="dxa"/>
              <w:end w:w="90" w:type="dxa"/>
            </w:tcMar>
            <w:vAlign w:val="center"/>
          </w:tcPr>
          <w:p>
            <w:pPr>
              <w:spacing w:after="0"/>
              <w:jc w:val="center"/>
            </w:pPr>
            <w:r>
              <w:rPr>
                <w:rFonts w:ascii="Aptos" w:hAnsi="Aptos" w:eastAsia="Aptos"/>
                <w:b/>
                <w:color w:val="FFFFFF"/>
                <w:sz w:val="16"/>
              </w:rPr>
              <w:t>Duration multiplier</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1 hour</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Trust-Building Handshake</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7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Shortest standard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1.0x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30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Short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1.15x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60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Short-to-medium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1.3x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90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Medium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1.5x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180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Six-month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2.0x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365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One-year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2.5x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730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Two-year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3.8x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1,095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Three-year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5.0x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1,460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Four-year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5.75x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1,825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Five-year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6.5x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2,190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Six-year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6.8x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2,555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Seven-year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7.1x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2,920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Eight-year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7.4x</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3,285 days</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Nine-year Commitment Vault Lock</w:t>
            </w:r>
          </w:p>
        </w:tc>
        <w:tc>
          <w:tcPr>
            <w:tcW w:type="dxa" w:w="2016"/>
            <w:tcMar>
              <w:top w:w="72" w:type="dxa"/>
              <w:start w:w="90" w:type="dxa"/>
              <w:bottom w:w="72" w:type="dxa"/>
              <w:end w:w="90" w:type="dxa"/>
            </w:tcMar>
            <w:vAlign w:val="center"/>
          </w:tcPr>
          <w:p>
            <w:pPr>
              <w:spacing w:after="0" w:line="240" w:lineRule="auto"/>
              <w:jc w:val="center"/>
            </w:pPr>
            <w:r>
              <w:rPr>
                <w:rFonts w:ascii="Aptos" w:hAnsi="Aptos" w:eastAsia="Aptos"/>
                <w:sz w:val="16"/>
              </w:rPr>
              <w:t>7.7x</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3,650 days</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Ten-year Commitment Vault Lock</w:t>
            </w:r>
          </w:p>
        </w:tc>
        <w:tc>
          <w:tcPr>
            <w:tcW w:type="dxa" w:w="201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8.0x</w:t>
            </w:r>
          </w:p>
        </w:tc>
      </w:tr>
    </w:tbl>
    <w:p>
      <w:pPr>
        <w:spacing w:after="20"/>
      </w:pPr>
    </w:p>
    <w:p>
      <w:pPr>
        <w:pStyle w:val="Requirement"/>
      </w:pPr>
      <w:r>
        <w:rPr>
          <w:b/>
        </w:rPr>
        <w:t xml:space="preserve">VF-COM-001: </w:t>
      </w:r>
      <w:r>
        <w:t>Only the durations and multipliers in Section 5.1 are permitted.</w:t>
      </w:r>
    </w:p>
    <w:p>
      <w:pPr>
        <w:pStyle w:val="Requirement"/>
      </w:pPr>
      <w:r>
        <w:rPr>
          <w:b/>
        </w:rPr>
        <w:t xml:space="preserve">VF-COM-002: </w:t>
      </w:r>
      <w:r>
        <w:t>No intermediate duration or interpolated multiplier is permitted.</w:t>
      </w:r>
    </w:p>
    <w:p>
      <w:pPr>
        <w:pStyle w:val="Heading2"/>
      </w:pPr>
      <w:r>
        <w:t>5.2 Trust-Building Handshake</w:t>
      </w:r>
    </w:p>
    <w:p>
      <w:pPr/>
      <w:r>
        <w:t>The Trust-Building Handshake allows a user to experience the complete Commitment Vault Lock lifecycle using an approximately one-dollar gross value. It is deliberately limited so that it demonstrates the mechanism without becoming the ordinary participation route. Its allowance is applied per objectively bound source-chain identity and depends on the selected source mechanism's actual chain-native state capability.</w:t>
      </w:r>
    </w:p>
    <w:p>
      <w:pPr>
        <w:pStyle w:val="Requirement"/>
      </w:pPr>
      <w:r>
        <w:rPr>
          <w:b/>
        </w:rPr>
        <w:t xml:space="preserve">VF-COM-003: </w:t>
      </w:r>
      <w:r>
        <w:t>A qualifying Trust-Building Handshake is a one-hour Commitment Vault Lock with Verified Gross USD Value from $0.95 through $1.05 inclusive.</w:t>
      </w:r>
    </w:p>
    <w:p>
      <w:pPr>
        <w:pStyle w:val="Requirement"/>
      </w:pPr>
      <w:r>
        <w:rPr>
          <w:b/>
        </w:rPr>
        <w:t xml:space="preserve">VF-COM-004: </w:t>
      </w:r>
      <w:r>
        <w:t>Each successful qualifying Trust-Building Handshake charges a 2.50% fee.</w:t>
      </w:r>
    </w:p>
    <w:p>
      <w:pPr>
        <w:pStyle w:val="Requirement"/>
      </w:pPr>
      <w:r>
        <w:rPr>
          <w:b/>
        </w:rPr>
        <w:t xml:space="preserve">VF-COM-005: </w:t>
      </w:r>
      <w:r>
        <w:t>The Handshake identity is the objectively recorded source-chain identity deterministically bound into the recognized lock evidence. For an account-model mechanism it is the source environment combined with the source account. For every UTXO-family mechanism it is exactly handshake_identity = (source_environment_id, canonical_release_public_key), where the canonical release public key is the single key authorizing the principal's maturity-release branch in the chain's canonical serialization and is proved against the locking, redeem/witness, or tapleaf evidence. An address, complete script, script hash, or maturity value is not an alternative identity; ambiguous or multi-key maturity-release paths are rejected for Handshake use. Each newly created objectively distinct wallet, account, or release public key receives its own applicable allowance. Creating one is permitted. Person-level identification, wallet clustering, cross-address association, detection of common control, and anti-Sybil enforcement are neither required nor permitted.</w:t>
      </w:r>
    </w:p>
    <w:p>
      <w:pPr>
        <w:pStyle w:val="Requirement"/>
      </w:pPr>
      <w:r>
        <w:rPr>
          <w:b/>
        </w:rPr>
        <w:t xml:space="preserve">VF-COM-006: </w:t>
      </w:r>
      <w:r>
        <w:t>A selected source mechanism capable of atomically maintaining persistent per-identity allowance state permits exactly three successful qualifying Trust-Building Handshakes per bound identity. A selected source mechanism without that capability permits exactly one. The applicable allowance is determined by the actual selected source mechanism, not by a broad chain label.</w:t>
      </w:r>
    </w:p>
    <w:p>
      <w:pPr>
        <w:pStyle w:val="Requirement"/>
      </w:pPr>
      <w:r>
        <w:rPr>
          <w:b/>
        </w:rPr>
        <w:t xml:space="preserve">VF-COM-007: </w:t>
      </w:r>
      <w:r>
        <w:t>For a one-use mechanism, the first successful qualifying Handshake consumes the identity's allowance and a second qualifying attempt by that identity cannot become a recognized Commitment Vault Lock or authorize issuance. For a three-use mechanism, the first three successes consume the allowance and the fourth qualifying attempt is rejected. The official application must refuse an additional one-use Handshake before broadcast while the identity is used or has an objectively pending attempt.</w:t>
      </w:r>
    </w:p>
    <w:p>
      <w:pPr>
        <w:pStyle w:val="Requirement"/>
      </w:pPr>
      <w:r>
        <w:rPr>
          <w:b/>
        </w:rPr>
        <w:t xml:space="preserve">VF-COM-008: </w:t>
      </w:r>
      <w:r>
        <w:t>A failed, reverted, invalid, or unrecognized attempt consumes no Trust-Building Handshake allowance. Application-local preventive state does not consume protocol allowance.</w:t>
      </w:r>
    </w:p>
    <w:p>
      <w:pPr>
        <w:pStyle w:val="Requirement"/>
      </w:pPr>
      <w:r>
        <w:rPr>
          <w:b/>
        </w:rPr>
        <w:t xml:space="preserve">VF-COM-026: </w:t>
      </w:r>
      <w:r>
        <w:t>A one-hour Commitment Vault Lock that does not satisfy the qualifying value range in VF-COM-003 is rejected. The one-hour duration is available only through a qualifying Trust-Building Handshake. An arbitrary or out-of-protocol source transaction does not become a Commitment Vault Lock and creates no issuance right, Reward-Accounting Credit, or Handshake-allowance consumption merely because it moves or timelocks assets.</w:t>
      </w:r>
    </w:p>
    <w:p>
      <w:pPr>
        <w:pStyle w:val="Heading3"/>
      </w:pPr>
      <w:r>
        <w:t>5.2.1 Chain-equivalent qualification and enforcement</w:t>
      </w:r>
    </w:p>
    <w:p>
      <w:pPr/>
      <w:r>
        <w:t>Preflight qualification and allowance enforcement may be placed at the source, in a cryptographic authorization required by the source mechanism, in the proof-verification path, or across a chain-native combination, provided the resulting User-protection and security outcome are demonstrated. An invalidity determinable only through the proof-verification path is rejected before the event becomes a recognized Commitment Vault Lock and authorizes no issuance, no Reward-Accounting Credit, and consumes no Handshake allowance.</w:t>
      </w:r>
    </w:p>
    <w:p>
      <w:pPr>
        <w:pStyle w:val="Heading3"/>
      </w:pPr>
      <w:r>
        <w:t>5.2.2 Prevention by the official application</w:t>
      </w:r>
    </w:p>
    <w:p>
      <w:pPr/>
      <w:r>
        <w:t>The non-refundable fee rule is a fail-safe for an exceptional or independently constructed transaction, not an acceptable ordinary User experience. Before constructing, signing, or broadcasting a source transaction, the official application must perform every technically available check, including the applicable Handshake allowance; an already-used identity; an objectively pending attempt by the same identity; a recognized attempt awaiting finality; duplicate submission; the approved asset and identity; the qualifying value range; fee and principal calculations; output-token availability; and recipient and release-destination binding. For a non-stateful one-use mechanism, it must refuse another Handshake while the identity is used or has an objectively pending attempt. The interface must clearly warn that an independently constructed or broadcast source transaction can move or timelock assets without creating Vinculum rights and that any fee actually transferred to the Dev Fund is non-refundable.</w:t>
      </w:r>
    </w:p>
    <w:p>
      <w:pPr>
        <w:pStyle w:val="Heading3"/>
      </w:pPr>
      <w:r>
        <w:t>5.2.3 Objective pending-attempt disposition</w:t>
      </w:r>
    </w:p>
    <w:p>
      <w:pPr/>
      <w:r>
        <w:t>Elapsed time, mempool disappearance, failure to appear within an estimated or finality window, and application-local abandonment timers are not proof that a source transaction can no longer become recognized. A pending Handshake attempt clears only when objective chain-native evidence establishes a terminal source-chain disposition or that the transaction can no longer validly become the recognized transaction: a consumed account nonce; a consumed input by a finalized conflicting transaction; a genuine chain-native expiry rule where the chain provides one; or a finite validity bound that passes. A still-valid, rebroadcastable UTXO transaction remains pending and is not cleared by time, mempool eviction, or non-observation. Before authorizing another official submission, the application must recheck objective source-chain disposition and Base recognition state.</w:t>
      </w:r>
    </w:p>
    <w:p>
      <w:pPr/>
      <w:r>
        <w:t>Mechanism-specific objective invalidation is: finalized same-nonce replacement or cancellation on EVM; recent-blockhash expiry or finalized durable-nonce advancement on Solana; a finalized conflicting input spend on a UTXO-family chain, with no invented automatic cancellation; finite LastLedgerSequence passage on XRP Ledger; and finite time-bound passage or finalized source-account sequence consumption on Stellar. Cosmos Hub criteria remain undefined pending the required chain-native feasibility analysis. A transaction with no terminal disposition and no objective invalidation remains pending.</w:t>
      </w:r>
    </w:p>
    <w:p>
      <w:pPr>
        <w:pStyle w:val="Heading2"/>
      </w:pPr>
      <w:r>
        <w:t>5.3 Standard minimum, fee, and rounding</w:t>
      </w:r>
    </w:p>
    <w:p>
      <w:pPr>
        <w:pStyle w:val="Requirement"/>
      </w:pPr>
      <w:r>
        <w:rPr>
          <w:b/>
        </w:rPr>
        <w:t xml:space="preserve">VF-COM-009: </w:t>
      </w:r>
      <w:r>
        <w:t>Every Commitment Vault Lock from 7 days through 3,650 days requires at least $10.00 Verified Gross USD Value and charges a 5.00% fee.</w:t>
      </w:r>
    </w:p>
    <w:p>
      <w:pPr>
        <w:pStyle w:val="Requirement"/>
      </w:pPr>
      <w:r>
        <w:rPr>
          <w:b/>
        </w:rPr>
        <w:t xml:space="preserve">VF-COM-010: </w:t>
      </w:r>
      <w:r>
        <w:t>An actual zero asset amount is invalid for every duration.</w:t>
      </w:r>
    </w:p>
    <w:p>
      <w:pPr>
        <w:pStyle w:val="Requirement"/>
      </w:pPr>
      <w:r>
        <w:rPr>
          <w:b/>
        </w:rPr>
        <w:t xml:space="preserve">VF-COM-011: </w:t>
      </w:r>
      <w:r>
        <w:t>Fee asset units equal floor(gross asset units x applicable fee basis points / 10,000).</w:t>
      </w:r>
    </w:p>
    <w:p>
      <w:pPr>
        <w:pStyle w:val="Requirement"/>
      </w:pPr>
      <w:r>
        <w:rPr>
          <w:b/>
        </w:rPr>
        <w:t xml:space="preserve">VF-COM-012: </w:t>
      </w:r>
      <w:r>
        <w:t>Commitment principal units equal gross asset units minus actual rounded fee units.</w:t>
      </w:r>
    </w:p>
    <w:p>
      <w:pPr>
        <w:pStyle w:val="Requirement"/>
      </w:pPr>
      <w:r>
        <w:rPr>
          <w:b/>
        </w:rPr>
        <w:t xml:space="preserve">VF-COM-013: </w:t>
      </w:r>
      <w:r>
        <w:t>The request is rejected before assets move if rounding produces a zero fee or zero principal.</w:t>
      </w:r>
    </w:p>
    <w:p>
      <w:pPr>
        <w:pStyle w:val="Requirement"/>
      </w:pPr>
      <w:r>
        <w:rPr>
          <w:b/>
        </w:rPr>
        <w:t xml:space="preserve">VF-COM-014: </w:t>
      </w:r>
      <w:r>
        <w:t>If an asset's decimal precision cannot represent a qualifying Trust-Building Handshake with both nonzero fee and nonzero principal, that asset cannot use the Handshake but remains eligible for longer qualifying Commitment Vault Locks.</w:t>
      </w:r>
    </w:p>
    <w:p>
      <w:pPr>
        <w:pStyle w:val="Requirement"/>
      </w:pPr>
      <w:r>
        <w:rPr>
          <w:b/>
        </w:rPr>
        <w:t xml:space="preserve">VF-COM-015: </w:t>
      </w:r>
      <w:r>
        <w:t>A fee actually and irreversibly transferred to the fixed Dev Fund destination is permanently non-refundable, even if the source transaction is later rejected as unrecognized or over-limit. That rejection creates no recognized Commitment Vault Lock, issuance, Reward-Accounting Credit, Handshake-allowance consumption, or other Vinculum rights; any principal timelocked by the transaction remains deterministically releasable to its bound destination at maturity.</w:t>
      </w:r>
    </w:p>
    <w:p>
      <w:pPr>
        <w:pStyle w:val="Requirement"/>
      </w:pPr>
      <w:r>
        <w:rPr>
          <w:b/>
        </w:rPr>
        <w:t xml:space="preserve">VF-COM-016: </w:t>
      </w:r>
      <w:r>
        <w:t>There is no early release, cancellation, penalty exit, administrative release, or emergency release for Commitment Vault principal.</w:t>
      </w:r>
    </w:p>
    <w:p>
      <w:pPr>
        <w:pStyle w:val="Heading2"/>
      </w:pPr>
      <w:r>
        <w:t>5.4 Issuance basis, calculation order, and output</w:t>
      </w:r>
    </w:p>
    <w:p>
      <w:pPr>
        <w:spacing w:before="80" w:after="140"/>
        <w:jc w:val="center"/>
      </w:pPr>
      <w:r>
        <w:rPr>
          <w:b/>
          <w:color w:val="18324B"/>
        </w:rPr>
        <w:t>Output = Verified Gross USD Value x current emission rate x asset multiplier x Commitment Vault Lock duration multiplier</w:t>
      </w:r>
    </w:p>
    <w:p>
      <w:pPr/>
      <w:r>
        <w:rPr>
          <w:i w:val="0"/>
        </w:rPr>
        <w:t>The complete gross USD value is recognized for protocol-token issuance. The fee is paid separately and does not reduce the issuance basis. All issuance calculations use 18-decimal fixed-point arithmetic and convert to the output token's smallest units only after applying the factors in the required order.</w:t>
      </w:r>
    </w:p>
    <w:p>
      <w:pPr>
        <w:pStyle w:val="Requirement"/>
      </w:pPr>
      <w:r>
        <w:rPr>
          <w:b/>
        </w:rPr>
        <w:t xml:space="preserve">VF-COM-017: </w:t>
      </w:r>
      <w:r>
        <w:t>Commitment Vault issuance begins with the full Verified Gross USD Value before subtracting the fee.</w:t>
      </w:r>
    </w:p>
    <w:p>
      <w:pPr>
        <w:pStyle w:val="Requirement"/>
      </w:pPr>
      <w:r>
        <w:rPr>
          <w:b/>
        </w:rPr>
        <w:t xml:space="preserve">VF-COM-018: </w:t>
      </w:r>
      <w:r>
        <w:t>The required calculation order is Verified Gross USD Value, time-dependent emission rate, asset multiplier, Commitment Vault Lock duration multiplier, then smallest protocol-token units.</w:t>
      </w:r>
    </w:p>
    <w:p>
      <w:pPr>
        <w:pStyle w:val="Requirement"/>
      </w:pPr>
      <w:r>
        <w:rPr>
          <w:b/>
        </w:rPr>
        <w:t xml:space="preserve">VF-COM-019: </w:t>
      </w:r>
      <w:r>
        <w:t>Every integer division rounds down; factors may not be reordered or rounded to the nearest unit.</w:t>
      </w:r>
    </w:p>
    <w:p>
      <w:pPr>
        <w:pStyle w:val="Requirement"/>
      </w:pPr>
      <w:r>
        <w:rPr>
          <w:b/>
        </w:rPr>
        <w:t xml:space="preserve">VF-COM-020: </w:t>
      </w:r>
      <w:r>
        <w:t>A Commitment Vault Lock creates exactly one selected output token: VCLM or activated CHONX.</w:t>
      </w:r>
    </w:p>
    <w:p>
      <w:pPr>
        <w:pStyle w:val="Requirement"/>
      </w:pPr>
      <w:r>
        <w:rPr>
          <w:b/>
        </w:rPr>
        <w:t xml:space="preserve">VF-COM-021: </w:t>
      </w:r>
      <w:r>
        <w:t>The complete calculated output is issued to the Base-chain recipient bound to the source Commitment Vault Lock.</w:t>
      </w:r>
    </w:p>
    <w:p>
      <w:pPr>
        <w:pStyle w:val="Requirement"/>
      </w:pPr>
      <w:r>
        <w:rPr>
          <w:b/>
        </w:rPr>
        <w:t xml:space="preserve">VF-COM-022: </w:t>
      </w:r>
      <w:r>
        <w:t>The asset classification and acquisition history do not attach to fungible VCLM or CHONX after issuance.</w:t>
      </w:r>
    </w:p>
    <w:p>
      <w:pPr>
        <w:pStyle w:val="Requirement"/>
      </w:pPr>
      <w:r>
        <w:rPr>
          <w:b/>
        </w:rPr>
        <w:t xml:space="preserve">VF-COM-023: </w:t>
      </w:r>
      <w:r>
        <w:t>A Commitment Vault Lock is not renewable. After maturity the user may reclaim principal and create a separate new Commitment Vault Lock.</w:t>
      </w:r>
    </w:p>
    <w:p>
      <w:pPr>
        <w:pStyle w:val="Requirement"/>
      </w:pPr>
      <w:r>
        <w:rPr>
          <w:b/>
        </w:rPr>
        <w:t xml:space="preserve">VF-COM-024: </w:t>
      </w:r>
      <w:r>
        <w:t>A Commitment Vault Lock with any duration other than one hour does not consume a Trust-Building Handshake allowance.</w:t>
      </w:r>
    </w:p>
    <w:p>
      <w:pPr>
        <w:pStyle w:val="Requirement"/>
      </w:pPr>
      <w:r>
        <w:rPr>
          <w:b/>
        </w:rPr>
        <w:t xml:space="preserve">VF-COM-025: </w:t>
      </w:r>
      <w:r>
        <w:t>CHONX must already be activated at the original Commitment Vault Lock creation time to be selected as its output; later activation cannot validate an earlier ineligible selection.</w:t>
      </w:r>
    </w:p>
    <w:p>
      <w:pPr>
        <w:pStyle w:val="Heading1"/>
      </w:pPr>
      <w:r>
        <w:t>6. Approved Asset Registry and Asset Classification</w:t>
      </w:r>
    </w:p>
    <w:p>
      <w:pPr/>
      <w:r>
        <w:rPr>
          <w:i w:val="0"/>
        </w:rPr>
        <w:t>The fixed Approved Asset Registry contains exactly 1,001 entries across the 17 supported blockchain environments. Appendix C incorporates the complete registry snapshot used by this specification. Registry membership and exact canonical identity are prerequisites for a Commitment Vault Lock.</w:t>
      </w:r>
    </w:p>
    <w:p>
      <w:pPr>
        <w:pStyle w:val="Heading2"/>
      </w:pPr>
      <w:r>
        <w:t>6.1 Classifications</w:t>
      </w:r>
    </w:p>
    <w:tbl>
      <w:tblPr>
        <w:tblStyle w:val="TableGrid"/>
        <w:tblW w:type="dxa" w:w="9648"/>
        <w:jc w:val="left"/>
        <w:tblLayout w:type="fixed"/>
        <w:tblLook w:firstColumn="1" w:firstRow="1" w:lastColumn="0" w:lastRow="0" w:noHBand="0" w:noVBand="1" w:val="04A0"/>
        <w:tblInd w:w="120" w:type="dxa"/>
      </w:tblPr>
      <w:tblGrid>
        <w:gridCol w:w="2376"/>
        <w:gridCol w:w="1296"/>
        <w:gridCol w:w="5976"/>
      </w:tblGrid>
      <w:tr>
        <w:trPr>
          <w:tblHeader w:val="true"/>
          <w:cantSplit/>
        </w:trPr>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6"/>
              </w:rPr>
              <w:t>Class</w:t>
            </w:r>
          </w:p>
        </w:tc>
        <w:tc>
          <w:tcPr>
            <w:tcW w:type="dxa" w:w="1296"/>
            <w:shd w:fill="18324B"/>
            <w:tcMar>
              <w:top w:w="72" w:type="dxa"/>
              <w:start w:w="90" w:type="dxa"/>
              <w:bottom w:w="72" w:type="dxa"/>
              <w:end w:w="90" w:type="dxa"/>
            </w:tcMar>
            <w:vAlign w:val="center"/>
          </w:tcPr>
          <w:p>
            <w:pPr>
              <w:spacing w:after="0"/>
              <w:jc w:val="center"/>
            </w:pPr>
            <w:r>
              <w:rPr>
                <w:rFonts w:ascii="Aptos" w:hAnsi="Aptos" w:eastAsia="Aptos"/>
                <w:b/>
                <w:color w:val="FFFFFF"/>
                <w:sz w:val="16"/>
              </w:rPr>
              <w:t>Multiplier</w:t>
            </w:r>
          </w:p>
        </w:tc>
        <w:tc>
          <w:tcPr>
            <w:tcW w:type="dxa" w:w="5976"/>
            <w:shd w:fill="18324B"/>
            <w:tcMar>
              <w:top w:w="72" w:type="dxa"/>
              <w:start w:w="90" w:type="dxa"/>
              <w:bottom w:w="72" w:type="dxa"/>
              <w:end w:w="90" w:type="dxa"/>
            </w:tcMar>
            <w:vAlign w:val="center"/>
          </w:tcPr>
          <w:p>
            <w:pPr>
              <w:spacing w:after="0"/>
              <w:jc w:val="left"/>
            </w:pPr>
            <w:r>
              <w:rPr>
                <w:rFonts w:ascii="Aptos" w:hAnsi="Aptos" w:eastAsia="Aptos"/>
                <w:b/>
                <w:color w:val="FFFFFF"/>
                <w:sz w:val="16"/>
              </w:rPr>
              <w:t>Exact definition</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6"/>
              </w:rPr>
              <w:t>S1</w:t>
            </w:r>
          </w:p>
        </w:tc>
        <w:tc>
          <w:tcPr>
            <w:tcW w:type="dxa" w:w="1296"/>
            <w:tcMar>
              <w:top w:w="72" w:type="dxa"/>
              <w:start w:w="90" w:type="dxa"/>
              <w:bottom w:w="72" w:type="dxa"/>
              <w:end w:w="90" w:type="dxa"/>
            </w:tcMar>
            <w:vAlign w:val="center"/>
          </w:tcPr>
          <w:p>
            <w:pPr>
              <w:spacing w:after="0" w:line="240" w:lineRule="auto"/>
              <w:jc w:val="center"/>
            </w:pPr>
            <w:r>
              <w:rPr>
                <w:rFonts w:ascii="Aptos" w:hAnsi="Aptos" w:eastAsia="Aptos"/>
                <w:sz w:val="16"/>
              </w:rPr>
              <w:t>1.5x</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Canonical Ethereum USDC and canonical Ethereum USDT</w:t>
            </w:r>
          </w:p>
        </w:tc>
      </w:tr>
      <w:tr>
        <w:trPr>
          <w:cantSplit/>
        </w:trPr>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6"/>
              </w:rPr>
              <w:t>S2 - Selected Five Assets</w:t>
            </w:r>
          </w:p>
        </w:tc>
        <w:tc>
          <w:tcPr>
            <w:tcW w:type="dxa" w:w="129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1.3x</w:t>
            </w:r>
          </w:p>
        </w:tc>
        <w:tc>
          <w:tcPr>
            <w:tcW w:type="dxa" w:w="5976"/>
            <w:tcMar>
              <w:top w:w="72" w:type="dxa"/>
              <w:start w:w="90" w:type="dxa"/>
              <w:bottom w:w="72" w:type="dxa"/>
              <w:end w:w="90" w:type="dxa"/>
            </w:tcMar>
            <w:vAlign w:val="center"/>
            <w:shd w:fill="F3F7FA"/>
          </w:tcPr>
          <w:p>
            <w:pPr>
              <w:spacing w:after="0" w:line="240" w:lineRule="auto"/>
              <w:jc w:val="left"/>
            </w:pPr>
            <w:r>
              <w:rPr>
                <w:rFonts w:ascii="Aptos" w:hAnsi="Aptos" w:eastAsia="Aptos"/>
                <w:sz w:val="16"/>
              </w:rPr>
              <w:t>Native Ethereum ETH; native Bitcoin BTC; canonical Ethereum AAVE, LINK, and UNI</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6"/>
              </w:rPr>
              <w:t>S3</w:t>
            </w:r>
          </w:p>
        </w:tc>
        <w:tc>
          <w:tcPr>
            <w:tcW w:type="dxa" w:w="1296"/>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c>
          <w:tcPr>
            <w:tcW w:type="dxa" w:w="5976"/>
            <w:tcMar>
              <w:top w:w="72" w:type="dxa"/>
              <w:start w:w="90" w:type="dxa"/>
              <w:bottom w:w="72" w:type="dxa"/>
              <w:end w:w="90" w:type="dxa"/>
            </w:tcMar>
            <w:vAlign w:val="center"/>
          </w:tcPr>
          <w:p>
            <w:pPr>
              <w:spacing w:after="0" w:line="240" w:lineRule="auto"/>
              <w:jc w:val="left"/>
            </w:pPr>
            <w:r>
              <w:rPr>
                <w:rFonts w:ascii="Aptos" w:hAnsi="Aptos" w:eastAsia="Aptos"/>
                <w:sz w:val="16"/>
              </w:rPr>
              <w:t>Every other approved registry entry, exactly 994</w:t>
            </w:r>
          </w:p>
        </w:tc>
      </w:tr>
    </w:tbl>
    <w:p>
      <w:pPr>
        <w:spacing w:after="20"/>
      </w:pPr>
    </w:p>
    <w:p>
      <w:pPr>
        <w:pStyle w:val="Requirement"/>
      </w:pPr>
      <w:r>
        <w:rPr>
          <w:b/>
        </w:rPr>
        <w:t xml:space="preserve">VF-REG-001: </w:t>
      </w:r>
      <w:r>
        <w:t>The deployed registry contains exactly the 1,001 entries incorporated in Appendix C.</w:t>
      </w:r>
    </w:p>
    <w:p>
      <w:pPr>
        <w:pStyle w:val="Requirement"/>
      </w:pPr>
      <w:r>
        <w:rPr>
          <w:b/>
        </w:rPr>
        <w:t xml:space="preserve">VF-REG-002: </w:t>
      </w:r>
      <w:r>
        <w:t>S1 consists only of the exact canonical Ethereum USDC and USDT identities listed in Appendix C.</w:t>
      </w:r>
    </w:p>
    <w:p>
      <w:pPr>
        <w:pStyle w:val="Requirement"/>
      </w:pPr>
      <w:r>
        <w:rPr>
          <w:b/>
        </w:rPr>
        <w:t xml:space="preserve">VF-REG-003: </w:t>
      </w:r>
      <w:r>
        <w:t>S2 consists only of native Ethereum ETH, native Bitcoin BTC, and canonical Ethereum AAVE, LINK, and UNI as listed in Appendix C.</w:t>
      </w:r>
    </w:p>
    <w:p>
      <w:pPr>
        <w:pStyle w:val="Requirement"/>
      </w:pPr>
      <w:r>
        <w:rPr>
          <w:b/>
        </w:rPr>
        <w:t xml:space="preserve">VF-REG-004: </w:t>
      </w:r>
      <w:r>
        <w:t>All remaining 994 entries are S3.</w:t>
      </w:r>
    </w:p>
    <w:p>
      <w:pPr>
        <w:pStyle w:val="Requirement"/>
      </w:pPr>
      <w:r>
        <w:rPr>
          <w:b/>
        </w:rPr>
        <w:t xml:space="preserve">VF-REG-005: </w:t>
      </w:r>
      <w:r>
        <w:t>Wrapped, bridged, derivative, and alternate-chain forms remain S3 unless they are one of the exact seven elevated canonical identities.</w:t>
      </w:r>
    </w:p>
    <w:p>
      <w:pPr>
        <w:pStyle w:val="Requirement"/>
      </w:pPr>
      <w:r>
        <w:rPr>
          <w:b/>
        </w:rPr>
        <w:t xml:space="preserve">VF-REG-006: </w:t>
      </w:r>
      <w:r>
        <w:t>S1 and S2 multipliers apply equally when the selected Commitment Vault Lock output is VCLM or activated CHONX.</w:t>
      </w:r>
    </w:p>
    <w:p>
      <w:pPr>
        <w:pStyle w:val="Requirement"/>
      </w:pPr>
      <w:r>
        <w:rPr>
          <w:b/>
        </w:rPr>
        <w:t xml:space="preserve">VF-REG-007: </w:t>
      </w:r>
      <w:r>
        <w:t>Asset classification affects initial Commitment Vault issuance only and never alters Treasury Reward Stake Weight.</w:t>
      </w:r>
    </w:p>
    <w:p>
      <w:pPr>
        <w:pStyle w:val="Requirement"/>
      </w:pPr>
      <w:r>
        <w:rPr>
          <w:b/>
        </w:rPr>
        <w:t xml:space="preserve">VF-REG-008: </w:t>
      </w:r>
      <w:r>
        <w:t>VCLM, CHONX, and SYNTH are excluded from the Approved Asset Registry as Commitment Vault Lock inputs.</w:t>
      </w:r>
    </w:p>
    <w:p>
      <w:pPr>
        <w:pStyle w:val="Requirement"/>
      </w:pPr>
      <w:r>
        <w:rPr>
          <w:b/>
        </w:rPr>
        <w:t xml:space="preserve">VF-REG-009: </w:t>
      </w:r>
      <w:r>
        <w:t>The WETH contract reference stored with the native Ethereum ETH registry entry is pricing metadata only; S2 applies to native ETH and does not elevate WETH.</w:t>
      </w:r>
    </w:p>
    <w:p>
      <w:pPr>
        <w:pStyle w:val="Requirement"/>
      </w:pPr>
      <w:r>
        <w:rPr>
          <w:b/>
        </w:rPr>
        <w:t xml:space="preserve">VF-REG-010: </w:t>
      </w:r>
      <w:r>
        <w:t>No registry entry may be added, removed, reclassified, or assigned a different canonical identity after deployment finalization.</w:t>
      </w:r>
    </w:p>
    <w:p>
      <w:pPr>
        <w:pStyle w:val="Heading2"/>
      </w:pPr>
      <w:r>
        <w:t>6.2 Operational rationale</w:t>
      </w:r>
    </w:p>
    <w:p>
      <w:pPr/>
      <w:r>
        <w:rPr>
          <w:i w:val="0"/>
        </w:rPr>
        <w:t>S1 recognizes the accounting simplicity of the two selected stablecoins. S2 recognizes five exact canonical assets whose established infrastructure and handling characteristics reduce valuation and operational complexity for an immutable protocol. The distinction is operational rather than a judgment about the legitimacy or strength of any S3 asset or community.</w:t>
      </w:r>
    </w:p>
    <w:p>
      <w:pPr>
        <w:pStyle w:val="Heading2"/>
      </w:pPr>
      <w:r>
        <w:t>6.3 Governing registry data</w:t>
      </w:r>
    </w:p>
    <w:p>
      <w:pPr/>
      <w:r>
        <w:t>Appendix C is the governing expression of the approved asset registry. It assigns registry row numbers from 1 through 1,001 in current source order; those row numbers are registry references rather than market rankings. A machine-readable registry is an implementation representation of Appendix C, not a separately governing historical file.</w:t>
      </w:r>
    </w:p>
    <w:p>
      <w:pPr>
        <w:pStyle w:val="Requirement"/>
      </w:pPr>
      <w:r>
        <w:rPr>
          <w:b/>
        </w:rPr>
        <w:t xml:space="preserve">VF-REG-011: </w:t>
      </w:r>
      <w:r>
        <w:t>A machine-readable registry conforms when it contains exactly the 1,001 Appendix C records with the same registry-row identifiers, symbols, asset names, environments, contract or native identifiers, S1/S2/S3 classifications, and pricing identifiers. Filename, whitespace, object-key order, and formatting do not affect conformity.</w:t>
      </w:r>
    </w:p>
    <w:p>
      <w:pPr>
        <w:pStyle w:val="Heading1"/>
      </w:pPr>
      <w:r>
        <w:t>7. Price Reference Process</w:t>
      </w:r>
    </w:p>
    <w:p>
      <w:pPr/>
      <w:r>
        <w:rPr>
          <w:i w:val="0"/>
        </w:rPr>
        <w:t>The protocol uses the established Universal Price Fetcher v9 process to obtain an orderly USD reference for Commitment Vault calculations. The reference exists to estimate issuance value; it is not a trading quote, redemption promise, or continuous financial-market valuation.</w:t>
      </w:r>
    </w:p>
    <w:p>
      <w:pPr>
        <w:pStyle w:val="Heading2"/>
      </w:pPr>
      <w:r>
        <w:t>7.1 Twice-daily first-valid-price cascade</w:t>
      </w:r>
    </w:p>
    <w:tbl>
      <w:tblPr>
        <w:tblStyle w:val="TableGrid"/>
        <w:tblW w:type="dxa" w:w="9648"/>
        <w:jc w:val="left"/>
        <w:tblLayout w:type="fixed"/>
        <w:tblLook w:firstColumn="1" w:firstRow="1" w:lastColumn="0" w:lastRow="0" w:noHBand="0" w:noVBand="1" w:val="04A0"/>
        <w:tblInd w:w="120" w:type="dxa"/>
      </w:tblPr>
      <w:tblGrid>
        <w:gridCol w:w="936"/>
        <w:gridCol w:w="8712"/>
      </w:tblGrid>
      <w:tr>
        <w:trPr>
          <w:tblHeader w:val="true"/>
          <w:cantSplit/>
        </w:trPr>
        <w:tc>
          <w:tcPr>
            <w:tcW w:type="dxa" w:w="936"/>
            <w:shd w:fill="18324B"/>
            <w:tcMar>
              <w:top w:w="72" w:type="dxa"/>
              <w:start w:w="90" w:type="dxa"/>
              <w:bottom w:w="72" w:type="dxa"/>
              <w:end w:w="90" w:type="dxa"/>
            </w:tcMar>
            <w:vAlign w:val="center"/>
          </w:tcPr>
          <w:p>
            <w:pPr>
              <w:spacing w:after="0"/>
              <w:jc w:val="center"/>
            </w:pPr>
            <w:r>
              <w:rPr>
                <w:rFonts w:ascii="Aptos" w:hAnsi="Aptos" w:eastAsia="Aptos"/>
                <w:b/>
                <w:color w:val="FFFFFF"/>
                <w:sz w:val="16"/>
              </w:rPr>
              <w:t>Step</w:t>
            </w:r>
          </w:p>
        </w:tc>
        <w:tc>
          <w:tcPr>
            <w:tcW w:type="dxa" w:w="8712"/>
            <w:shd w:fill="18324B"/>
            <w:tcMar>
              <w:top w:w="72" w:type="dxa"/>
              <w:start w:w="90" w:type="dxa"/>
              <w:bottom w:w="72" w:type="dxa"/>
              <w:end w:w="90" w:type="dxa"/>
            </w:tcMar>
            <w:vAlign w:val="center"/>
          </w:tcPr>
          <w:p>
            <w:pPr>
              <w:spacing w:after="0"/>
              <w:jc w:val="left"/>
            </w:pPr>
            <w:r>
              <w:rPr>
                <w:rFonts w:ascii="Aptos" w:hAnsi="Aptos" w:eastAsia="Aptos"/>
                <w:b/>
                <w:color w:val="FFFFFF"/>
                <w:sz w:val="16"/>
              </w:rPr>
              <w:t>Lookup</w:t>
            </w:r>
          </w:p>
        </w:tc>
      </w:tr>
      <w:tr>
        <w:trPr>
          <w:cantSplit/>
        </w:trPr>
        <w:tc>
          <w:tcPr>
            <w:tcW w:type="dxa" w:w="936"/>
            <w:tcMar>
              <w:top w:w="72" w:type="dxa"/>
              <w:start w:w="90" w:type="dxa"/>
              <w:bottom w:w="72" w:type="dxa"/>
              <w:end w:w="90" w:type="dxa"/>
            </w:tcMar>
            <w:vAlign w:val="center"/>
          </w:tcPr>
          <w:p>
            <w:pPr>
              <w:spacing w:after="0" w:line="240" w:lineRule="auto"/>
              <w:jc w:val="center"/>
            </w:pPr>
            <w:r>
              <w:rPr>
                <w:rFonts w:ascii="Aptos" w:hAnsi="Aptos" w:eastAsia="Aptos"/>
                <w:sz w:val="16"/>
              </w:rPr>
              <w:t>1</w:t>
            </w:r>
          </w:p>
        </w:tc>
        <w:tc>
          <w:tcPr>
            <w:tcW w:type="dxa" w:w="8712"/>
            <w:tcMar>
              <w:top w:w="72" w:type="dxa"/>
              <w:start w:w="90" w:type="dxa"/>
              <w:bottom w:w="72" w:type="dxa"/>
              <w:end w:w="90" w:type="dxa"/>
            </w:tcMar>
            <w:vAlign w:val="center"/>
          </w:tcPr>
          <w:p>
            <w:pPr>
              <w:spacing w:after="0" w:line="240" w:lineRule="auto"/>
              <w:jc w:val="left"/>
            </w:pPr>
            <w:r>
              <w:rPr>
                <w:rFonts w:ascii="Aptos" w:hAnsi="Aptos" w:eastAsia="Aptos"/>
                <w:sz w:val="16"/>
              </w:rPr>
              <w:t>CoinGecko batch lookup by configured pricing identifier</w:t>
            </w:r>
          </w:p>
        </w:tc>
      </w:tr>
      <w:tr>
        <w:trPr>
          <w:cantSplit/>
        </w:trPr>
        <w:tc>
          <w:tcPr>
            <w:tcW w:type="dxa" w:w="93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w:t>
            </w:r>
          </w:p>
        </w:tc>
        <w:tc>
          <w:tcPr>
            <w:tcW w:type="dxa" w:w="8712"/>
            <w:tcMar>
              <w:top w:w="72" w:type="dxa"/>
              <w:start w:w="90" w:type="dxa"/>
              <w:bottom w:w="72" w:type="dxa"/>
              <w:end w:w="90" w:type="dxa"/>
            </w:tcMar>
            <w:vAlign w:val="center"/>
            <w:shd w:fill="F3F7FA"/>
          </w:tcPr>
          <w:p>
            <w:pPr>
              <w:spacing w:after="0" w:line="240" w:lineRule="auto"/>
              <w:jc w:val="left"/>
            </w:pPr>
            <w:r>
              <w:rPr>
                <w:rFonts w:ascii="Aptos" w:hAnsi="Aptos" w:eastAsia="Aptos"/>
                <w:sz w:val="16"/>
              </w:rPr>
              <w:t>DexScreener lookup by contract for unresolved assets</w:t>
            </w:r>
          </w:p>
        </w:tc>
      </w:tr>
      <w:tr>
        <w:trPr>
          <w:cantSplit/>
        </w:trPr>
        <w:tc>
          <w:tcPr>
            <w:tcW w:type="dxa" w:w="936"/>
            <w:tcMar>
              <w:top w:w="72" w:type="dxa"/>
              <w:start w:w="90" w:type="dxa"/>
              <w:bottom w:w="72" w:type="dxa"/>
              <w:end w:w="90" w:type="dxa"/>
            </w:tcMar>
            <w:vAlign w:val="center"/>
          </w:tcPr>
          <w:p>
            <w:pPr>
              <w:spacing w:after="0" w:line="240" w:lineRule="auto"/>
              <w:jc w:val="center"/>
            </w:pPr>
            <w:r>
              <w:rPr>
                <w:rFonts w:ascii="Aptos" w:hAnsi="Aptos" w:eastAsia="Aptos"/>
                <w:sz w:val="16"/>
              </w:rPr>
              <w:t>3</w:t>
            </w:r>
          </w:p>
        </w:tc>
        <w:tc>
          <w:tcPr>
            <w:tcW w:type="dxa" w:w="8712"/>
            <w:tcMar>
              <w:top w:w="72" w:type="dxa"/>
              <w:start w:w="90" w:type="dxa"/>
              <w:bottom w:w="72" w:type="dxa"/>
              <w:end w:w="90" w:type="dxa"/>
            </w:tcMar>
            <w:vAlign w:val="center"/>
          </w:tcPr>
          <w:p>
            <w:pPr>
              <w:spacing w:after="0" w:line="240" w:lineRule="auto"/>
              <w:jc w:val="left"/>
            </w:pPr>
            <w:r>
              <w:rPr>
                <w:rFonts w:ascii="Aptos" w:hAnsi="Aptos" w:eastAsia="Aptos"/>
                <w:sz w:val="16"/>
              </w:rPr>
              <w:t>DexScreener symbol search for remaining unresolved assets</w:t>
            </w:r>
          </w:p>
        </w:tc>
      </w:tr>
      <w:tr>
        <w:trPr>
          <w:cantSplit/>
        </w:trPr>
        <w:tc>
          <w:tcPr>
            <w:tcW w:type="dxa" w:w="93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4</w:t>
            </w:r>
          </w:p>
        </w:tc>
        <w:tc>
          <w:tcPr>
            <w:tcW w:type="dxa" w:w="8712"/>
            <w:tcMar>
              <w:top w:w="72" w:type="dxa"/>
              <w:start w:w="90" w:type="dxa"/>
              <w:bottom w:w="72" w:type="dxa"/>
              <w:end w:w="90" w:type="dxa"/>
            </w:tcMar>
            <w:vAlign w:val="center"/>
            <w:shd w:fill="F3F7FA"/>
          </w:tcPr>
          <w:p>
            <w:pPr>
              <w:spacing w:after="0" w:line="240" w:lineRule="auto"/>
              <w:jc w:val="left"/>
            </w:pPr>
            <w:r>
              <w:rPr>
                <w:rFonts w:ascii="Aptos" w:hAnsi="Aptos" w:eastAsia="Aptos"/>
                <w:sz w:val="16"/>
              </w:rPr>
              <w:t>For designated community-token overrides: DexScreener followed by GeckoTerminal fallback</w:t>
            </w:r>
          </w:p>
        </w:tc>
      </w:tr>
    </w:tbl>
    <w:p>
      <w:pPr>
        <w:spacing w:after="20"/>
      </w:pPr>
    </w:p>
    <w:p>
      <w:pPr>
        <w:pStyle w:val="Heading3"/>
      </w:pPr>
      <w:r>
        <w:t>7.1.1 Existing community-token price-source overrides</w:t>
      </w:r>
    </w:p>
    <w:p>
      <w:pPr/>
      <w:r>
        <w:rPr>
          <w:i w:val="0"/>
        </w:rPr>
        <w:t>The current v9 configuration uses the following exact price-source overrides while preserving the displayed registry identity. These overrides are part of the established price-reference process.</w:t>
      </w:r>
    </w:p>
    <w:tbl>
      <w:tblPr>
        <w:tblStyle w:val="TableGrid"/>
        <w:tblW w:type="dxa" w:w="9648"/>
        <w:jc w:val="left"/>
        <w:tblLayout w:type="fixed"/>
        <w:tblLook w:firstColumn="1" w:firstRow="1" w:lastColumn="0" w:lastRow="0" w:noHBand="0" w:noVBand="1" w:val="04A0"/>
        <w:tblInd w:w="120" w:type="dxa"/>
      </w:tblPr>
      <w:tblGrid>
        <w:gridCol w:w="2160"/>
        <w:gridCol w:w="2088"/>
        <w:gridCol w:w="5400"/>
      </w:tblGrid>
      <w:tr>
        <w:trPr>
          <w:tblHeader w:val="true"/>
          <w:cantSplit/>
        </w:trPr>
        <w:tc>
          <w:tcPr>
            <w:tcW w:type="dxa" w:w="2160"/>
            <w:shd w:fill="18324B"/>
            <w:tcMar>
              <w:top w:w="72" w:type="dxa"/>
              <w:start w:w="90" w:type="dxa"/>
              <w:bottom w:w="72" w:type="dxa"/>
              <w:end w:w="90" w:type="dxa"/>
            </w:tcMar>
            <w:vAlign w:val="center"/>
          </w:tcPr>
          <w:p>
            <w:pPr>
              <w:spacing w:after="0"/>
              <w:jc w:val="left"/>
            </w:pPr>
            <w:r>
              <w:rPr>
                <w:rFonts w:ascii="Aptos" w:hAnsi="Aptos" w:eastAsia="Aptos"/>
                <w:b/>
                <w:color w:val="FFFFFF"/>
                <w:sz w:val="14"/>
              </w:rPr>
              <w:t>Registry identity</w:t>
            </w:r>
          </w:p>
        </w:tc>
        <w:tc>
          <w:tcPr>
            <w:tcW w:type="dxa" w:w="2088"/>
            <w:shd w:fill="18324B"/>
            <w:tcMar>
              <w:top w:w="72" w:type="dxa"/>
              <w:start w:w="90" w:type="dxa"/>
              <w:bottom w:w="72" w:type="dxa"/>
              <w:end w:w="90" w:type="dxa"/>
            </w:tcMar>
            <w:vAlign w:val="center"/>
          </w:tcPr>
          <w:p>
            <w:pPr>
              <w:spacing w:after="0"/>
              <w:jc w:val="left"/>
            </w:pPr>
            <w:r>
              <w:rPr>
                <w:rFonts w:ascii="Aptos" w:hAnsi="Aptos" w:eastAsia="Aptos"/>
                <w:b/>
                <w:color w:val="FFFFFF"/>
                <w:sz w:val="14"/>
              </w:rPr>
              <w:t>Lookup environment</w:t>
            </w:r>
          </w:p>
        </w:tc>
        <w:tc>
          <w:tcPr>
            <w:tcW w:type="dxa" w:w="5400"/>
            <w:shd w:fill="18324B"/>
            <w:tcMar>
              <w:top w:w="72" w:type="dxa"/>
              <w:start w:w="90" w:type="dxa"/>
              <w:bottom w:w="72" w:type="dxa"/>
              <w:end w:w="90" w:type="dxa"/>
            </w:tcMar>
            <w:vAlign w:val="center"/>
          </w:tcPr>
          <w:p>
            <w:pPr>
              <w:spacing w:after="0"/>
              <w:jc w:val="left"/>
            </w:pPr>
            <w:r>
              <w:rPr>
                <w:rFonts w:ascii="Aptos" w:hAnsi="Aptos" w:eastAsia="Aptos"/>
                <w:b/>
                <w:color w:val="FFFFFF"/>
                <w:sz w:val="14"/>
              </w:rPr>
              <w:t>Lookup contract</w:t>
            </w:r>
          </w:p>
        </w:tc>
      </w:tr>
      <w:tr>
        <w:trPr>
          <w:cantSplit/>
        </w:trPr>
        <w:tc>
          <w:tcPr>
            <w:tcW w:type="dxa" w:w="2160"/>
            <w:tcMar>
              <w:top w:w="72" w:type="dxa"/>
              <w:start w:w="90" w:type="dxa"/>
              <w:bottom w:w="72" w:type="dxa"/>
              <w:end w:w="90" w:type="dxa"/>
            </w:tcMar>
            <w:vAlign w:val="center"/>
          </w:tcPr>
          <w:p>
            <w:pPr>
              <w:spacing w:after="0" w:line="240" w:lineRule="auto"/>
              <w:jc w:val="left"/>
            </w:pPr>
            <w:r>
              <w:rPr>
                <w:rFonts w:ascii="Aptos" w:hAnsi="Aptos" w:eastAsia="Aptos"/>
                <w:sz w:val="14"/>
              </w:rPr>
              <w:t>TigerOG on Base</w:t>
            </w:r>
          </w:p>
        </w:tc>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4"/>
              </w:rPr>
              <w:t>BNB Smart Chain</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4"/>
              </w:rPr>
              <w:t>0xAC68931B666E086E9de380CFDb0Fb5704a35dc2D</w:t>
            </w:r>
          </w:p>
        </w:tc>
      </w:tr>
      <w:tr>
        <w:trPr>
          <w:cantSplit/>
        </w:trPr>
        <w:tc>
          <w:tcPr>
            <w:tcW w:type="dxa" w:w="2160"/>
            <w:tcMar>
              <w:top w:w="72" w:type="dxa"/>
              <w:start w:w="90" w:type="dxa"/>
              <w:bottom w:w="72" w:type="dxa"/>
              <w:end w:w="90" w:type="dxa"/>
            </w:tcMar>
            <w:vAlign w:val="center"/>
            <w:shd w:fill="F3F7FA"/>
          </w:tcPr>
          <w:p>
            <w:pPr>
              <w:spacing w:after="0" w:line="240" w:lineRule="auto"/>
              <w:jc w:val="left"/>
            </w:pPr>
            <w:r>
              <w:rPr>
                <w:rFonts w:ascii="Aptos" w:hAnsi="Aptos" w:eastAsia="Aptos"/>
                <w:sz w:val="14"/>
              </w:rPr>
              <w:t>LionOG on Base</w:t>
            </w:r>
          </w:p>
        </w:tc>
        <w:tc>
          <w:tcPr>
            <w:tcW w:type="dxa" w:w="2088"/>
            <w:tcMar>
              <w:top w:w="72" w:type="dxa"/>
              <w:start w:w="90" w:type="dxa"/>
              <w:bottom w:w="72" w:type="dxa"/>
              <w:end w:w="90" w:type="dxa"/>
            </w:tcMar>
            <w:vAlign w:val="center"/>
            <w:shd w:fill="F3F7FA"/>
          </w:tcPr>
          <w:p>
            <w:pPr>
              <w:spacing w:after="0" w:line="240" w:lineRule="auto"/>
              <w:jc w:val="left"/>
            </w:pPr>
            <w:r>
              <w:rPr>
                <w:rFonts w:ascii="Aptos" w:hAnsi="Aptos" w:eastAsia="Aptos"/>
                <w:sz w:val="14"/>
              </w:rPr>
              <w:t>BNB Smart Chain</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4"/>
              </w:rPr>
              <w:t>0xdA1689C5557564d06E2A546F8FD47350b9D44a73</w:t>
            </w:r>
          </w:p>
        </w:tc>
      </w:tr>
      <w:tr>
        <w:trPr>
          <w:cantSplit/>
        </w:trPr>
        <w:tc>
          <w:tcPr>
            <w:tcW w:type="dxa" w:w="2160"/>
            <w:tcMar>
              <w:top w:w="72" w:type="dxa"/>
              <w:start w:w="90" w:type="dxa"/>
              <w:bottom w:w="72" w:type="dxa"/>
              <w:end w:w="90" w:type="dxa"/>
            </w:tcMar>
            <w:vAlign w:val="center"/>
          </w:tcPr>
          <w:p>
            <w:pPr>
              <w:spacing w:after="0" w:line="240" w:lineRule="auto"/>
              <w:jc w:val="left"/>
            </w:pPr>
            <w:r>
              <w:rPr>
                <w:rFonts w:ascii="Aptos" w:hAnsi="Aptos" w:eastAsia="Aptos"/>
                <w:sz w:val="14"/>
              </w:rPr>
              <w:t>FrogOG on Base</w:t>
            </w:r>
          </w:p>
        </w:tc>
        <w:tc>
          <w:tcPr>
            <w:tcW w:type="dxa" w:w="2088"/>
            <w:tcMar>
              <w:top w:w="72" w:type="dxa"/>
              <w:start w:w="90" w:type="dxa"/>
              <w:bottom w:w="72" w:type="dxa"/>
              <w:end w:w="90" w:type="dxa"/>
            </w:tcMar>
            <w:vAlign w:val="center"/>
          </w:tcPr>
          <w:p>
            <w:pPr>
              <w:spacing w:after="0" w:line="240" w:lineRule="auto"/>
              <w:jc w:val="left"/>
            </w:pPr>
            <w:r>
              <w:rPr>
                <w:rFonts w:ascii="Aptos" w:hAnsi="Aptos" w:eastAsia="Aptos"/>
                <w:sz w:val="14"/>
              </w:rPr>
              <w:t>BNB Smart Chain</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4"/>
              </w:rPr>
              <w:t>0x64da67A12a46f1DDF337393e2dA12eD0A507Ad3D</w:t>
            </w:r>
          </w:p>
        </w:tc>
      </w:tr>
      <w:tr>
        <w:trPr>
          <w:cantSplit/>
        </w:trPr>
        <w:tc>
          <w:tcPr>
            <w:tcW w:type="dxa" w:w="2160"/>
            <w:tcMar>
              <w:top w:w="72" w:type="dxa"/>
              <w:start w:w="90" w:type="dxa"/>
              <w:bottom w:w="72" w:type="dxa"/>
              <w:end w:w="90" w:type="dxa"/>
            </w:tcMar>
            <w:vAlign w:val="center"/>
            <w:shd w:fill="F3F7FA"/>
          </w:tcPr>
          <w:p>
            <w:pPr>
              <w:spacing w:after="0" w:line="240" w:lineRule="auto"/>
              <w:jc w:val="left"/>
            </w:pPr>
            <w:r>
              <w:rPr>
                <w:rFonts w:ascii="Aptos" w:hAnsi="Aptos" w:eastAsia="Aptos"/>
                <w:sz w:val="14"/>
              </w:rPr>
              <w:t>WKC on Ethereum</w:t>
            </w:r>
          </w:p>
        </w:tc>
        <w:tc>
          <w:tcPr>
            <w:tcW w:type="dxa" w:w="2088"/>
            <w:tcMar>
              <w:top w:w="72" w:type="dxa"/>
              <w:start w:w="90" w:type="dxa"/>
              <w:bottom w:w="72" w:type="dxa"/>
              <w:end w:w="90" w:type="dxa"/>
            </w:tcMar>
            <w:vAlign w:val="center"/>
            <w:shd w:fill="F3F7FA"/>
          </w:tcPr>
          <w:p>
            <w:pPr>
              <w:spacing w:after="0" w:line="240" w:lineRule="auto"/>
              <w:jc w:val="left"/>
            </w:pPr>
            <w:r>
              <w:rPr>
                <w:rFonts w:ascii="Aptos" w:hAnsi="Aptos" w:eastAsia="Aptos"/>
                <w:sz w:val="14"/>
              </w:rPr>
              <w:t>Ethereum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4"/>
              </w:rPr>
              <w:t>0x6ec90334d89dbdc89e08a133271be3d104128edb</w:t>
            </w:r>
          </w:p>
        </w:tc>
      </w:tr>
    </w:tbl>
    <w:p>
      <w:pPr>
        <w:spacing w:after="20"/>
      </w:pPr>
    </w:p>
    <w:p>
      <w:pPr>
        <w:pStyle w:val="Requirement"/>
      </w:pPr>
      <w:r>
        <w:rPr>
          <w:b/>
        </w:rPr>
        <w:t xml:space="preserve">VF-ORC-001: </w:t>
      </w:r>
      <w:r>
        <w:t>The price process runs twice per day.</w:t>
      </w:r>
    </w:p>
    <w:p>
      <w:pPr>
        <w:pStyle w:val="Requirement"/>
      </w:pPr>
      <w:r>
        <w:rPr>
          <w:b/>
        </w:rPr>
        <w:t xml:space="preserve">VF-ORC-002: </w:t>
      </w:r>
      <w:r>
        <w:t>For each asset, the first valid price produced by the applicable ordered cascade is accepted and later sources are not consulted for that run.</w:t>
      </w:r>
    </w:p>
    <w:p>
      <w:pPr>
        <w:pStyle w:val="Requirement"/>
      </w:pPr>
      <w:r>
        <w:rPr>
          <w:b/>
        </w:rPr>
        <w:t xml:space="preserve">VF-ORC-003: </w:t>
      </w:r>
      <w:r>
        <w:t>The price process does not require two simultaneous sources, a source-spread comparison, a median calculation, a TWAP comparison, or a separate 10-minute freshness test.</w:t>
      </w:r>
    </w:p>
    <w:p>
      <w:pPr>
        <w:pStyle w:val="Requirement"/>
      </w:pPr>
      <w:r>
        <w:rPr>
          <w:b/>
        </w:rPr>
        <w:t xml:space="preserve">VF-ORC-004: </w:t>
      </w:r>
      <w:r>
        <w:t>No hardcoded asset price may substitute for a failed lookup.</w:t>
      </w:r>
    </w:p>
    <w:p>
      <w:pPr>
        <w:pStyle w:val="Requirement"/>
      </w:pPr>
      <w:r>
        <w:rPr>
          <w:b/>
        </w:rPr>
        <w:t xml:space="preserve">VF-ORC-005: </w:t>
      </w:r>
      <w:r>
        <w:t>If no valid price is produced, the asset has no usable Commitment Vault valuation until a later successful scheduled run.</w:t>
      </w:r>
    </w:p>
    <w:p>
      <w:pPr>
        <w:pStyle w:val="Requirement"/>
      </w:pPr>
      <w:r>
        <w:rPr>
          <w:b/>
        </w:rPr>
        <w:t xml:space="preserve">VF-ORC-006: </w:t>
      </w:r>
      <w:r>
        <w:t>The four community-token overrides in Section 7.1.1 use the exact lookup environments and contracts listed there; an implementer may not silently replace them with the displayed registry contracts.</w:t>
      </w:r>
    </w:p>
    <w:p>
      <w:pPr>
        <w:pStyle w:val="Heading2"/>
      </w:pPr>
      <w:r>
        <w:t>7.2 Signed and batched delivery to Base</w:t>
      </w:r>
    </w:p>
    <w:p>
      <w:pPr/>
      <w:r>
        <w:rPr>
          <w:i w:val="0"/>
        </w:rPr>
        <w:t>The selected price, source label, asset identity, and fetch timestamp are carried to Base through the established signed and batched price path. The concrete integration and production signing configuration are architecture and deployment deliverables; they may not silently change the twice-daily first-valid-price rule.</w:t>
      </w:r>
    </w:p>
    <w:p>
      <w:pPr>
        <w:pStyle w:val="Requirement"/>
      </w:pPr>
      <w:r>
        <w:rPr>
          <w:b/>
        </w:rPr>
        <w:t xml:space="preserve">VF-ORC-007: </w:t>
      </w:r>
      <w:r>
        <w:t>The Base valuation path accepts only a valid signed and batched price record for the exact approved asset identity.</w:t>
      </w:r>
    </w:p>
    <w:p>
      <w:pPr>
        <w:pStyle w:val="Requirement"/>
      </w:pPr>
      <w:r>
        <w:rPr>
          <w:b/>
        </w:rPr>
        <w:t xml:space="preserve">VF-ORC-008: </w:t>
      </w:r>
      <w:r>
        <w:t>A successful scheduled price record remains applicable until the next scheduled run; a scheduled run producing no valid price marks that asset unavailable until a later successful run.</w:t>
      </w:r>
    </w:p>
    <w:p>
      <w:pPr>
        <w:pStyle w:val="Requirement"/>
      </w:pPr>
      <w:r>
        <w:rPr>
          <w:b/>
        </w:rPr>
        <w:t xml:space="preserve">VF-ORC-009: </w:t>
      </w:r>
      <w:r>
        <w:t>The reference price applicable when the Commitment Vault Lock is created is retained for that Commitment Vault Lock.</w:t>
      </w:r>
    </w:p>
    <w:p>
      <w:pPr>
        <w:pStyle w:val="Requirement"/>
      </w:pPr>
      <w:r>
        <w:rPr>
          <w:b/>
        </w:rPr>
        <w:t xml:space="preserve">VF-ORC-010: </w:t>
      </w:r>
      <w:r>
        <w:t>A proof delay or retry does not reprice the Commitment Vault Lock using a later market observation.</w:t>
      </w:r>
    </w:p>
    <w:p>
      <w:pPr>
        <w:pStyle w:val="Requirement"/>
      </w:pPr>
      <w:r>
        <w:rPr>
          <w:b/>
        </w:rPr>
        <w:t xml:space="preserve">VF-ORC-011: </w:t>
      </w:r>
      <w:r>
        <w:t>The Valuation Timestamp is the timestamp of the finalized source-chain block containing the Commitment Vault Lock.</w:t>
      </w:r>
    </w:p>
    <w:p>
      <w:pPr>
        <w:pStyle w:val="Requirement"/>
      </w:pPr>
      <w:r>
        <w:rPr>
          <w:b/>
        </w:rPr>
        <w:t xml:space="preserve">VF-ORC-012: </w:t>
      </w:r>
      <w:r>
        <w:t>The same accepted reference price determines Verified Gross USD Value and Verified USD Fee Value for the Commitment Vault Lock.</w:t>
      </w:r>
    </w:p>
    <w:p>
      <w:pPr>
        <w:pStyle w:val="Requirement"/>
      </w:pPr>
      <w:r>
        <w:rPr>
          <w:b/>
        </w:rPr>
        <w:t xml:space="preserve">VF-ORC-013: </w:t>
      </w:r>
      <w:r>
        <w:t>The time-dependent emission rate is selected using the Valuation Timestamp.</w:t>
      </w:r>
    </w:p>
    <w:p>
      <w:pPr>
        <w:pStyle w:val="Requirement"/>
      </w:pPr>
      <w:r>
        <w:rPr>
          <w:b/>
        </w:rPr>
        <w:t xml:space="preserve">VF-ORC-014: </w:t>
      </w:r>
      <w:r>
        <w:t>Website display updates and signed/batched protocol records may share the same fetcher output, but website presentation cannot alter protocol calculations.</w:t>
      </w:r>
    </w:p>
    <w:p>
      <w:pPr>
        <w:pStyle w:val="Heading1"/>
      </w:pPr>
      <w:r>
        <w:t>8. Fee Collection and Original-Form Routing</w:t>
      </w:r>
    </w:p>
    <w:p>
      <w:pPr>
        <w:pStyle w:val="Heading2"/>
      </w:pPr>
      <w:r>
        <w:t>8.1 Uniform routing</w:t>
      </w:r>
    </w:p>
    <w:p>
      <w:pPr/>
      <w:r>
        <w:rPr>
          <w:i w:val="0"/>
        </w:rPr>
        <w:t>The actual rounded fee collected from every S1, S2, or S3 Commitment Vault Lock is transferred to the fixed Dev Fund destination for the source environment in the same asset in which it was collected. The remaining principal is isolated in the Commitment Vault Lock.</w:t>
      </w:r>
    </w:p>
    <w:p>
      <w:pPr>
        <w:pStyle w:val="Requirement"/>
      </w:pPr>
      <w:r>
        <w:rPr>
          <w:b/>
        </w:rPr>
        <w:t xml:space="preserve">VF-FEE-001: </w:t>
      </w:r>
      <w:r>
        <w:t>The Dev Fund receives 100% of each actual Commitment Vault fee.</w:t>
      </w:r>
    </w:p>
    <w:p>
      <w:pPr>
        <w:pStyle w:val="Requirement"/>
      </w:pPr>
      <w:r>
        <w:rPr>
          <w:b/>
        </w:rPr>
        <w:t xml:space="preserve">VF-FEE-002: </w:t>
      </w:r>
      <w:r>
        <w:t>A fee remains in its original asset; no swapping, conversion, bridging, or division among destinations occurs.</w:t>
      </w:r>
    </w:p>
    <w:p>
      <w:pPr>
        <w:pStyle w:val="Requirement"/>
      </w:pPr>
      <w:r>
        <w:rPr>
          <w:b/>
        </w:rPr>
        <w:t xml:space="preserve">VF-FEE-003: </w:t>
      </w:r>
      <w:r>
        <w:t>Commitment Vault principal is never transferred to the Dev Fund.</w:t>
      </w:r>
    </w:p>
    <w:p>
      <w:pPr>
        <w:pStyle w:val="Requirement"/>
      </w:pPr>
      <w:r>
        <w:rPr>
          <w:b/>
        </w:rPr>
        <w:t xml:space="preserve">VF-FEE-004: </w:t>
      </w:r>
      <w:r>
        <w:t>Each of the 17 supported environments has one fixed and immutable Dev Fund destination.</w:t>
      </w:r>
    </w:p>
    <w:p>
      <w:pPr>
        <w:pStyle w:val="Requirement"/>
      </w:pPr>
      <w:r>
        <w:rPr>
          <w:b/>
        </w:rPr>
        <w:t xml:space="preserve">VF-FEE-005: </w:t>
      </w:r>
      <w:r>
        <w:t>Any asset-specific receiving account required by an environment must remain deterministically bound to that environment's fixed Dev Fund destination.</w:t>
      </w:r>
    </w:p>
    <w:p>
      <w:pPr>
        <w:pStyle w:val="Requirement"/>
      </w:pPr>
      <w:r>
        <w:rPr>
          <w:b/>
        </w:rPr>
        <w:t xml:space="preserve">VF-FEE-006: </w:t>
      </w:r>
      <w:r>
        <w:t>A user, relayer, implementer, or external message may not substitute another fee destination.</w:t>
      </w:r>
    </w:p>
    <w:p>
      <w:pPr>
        <w:pStyle w:val="Heading2"/>
      </w:pPr>
      <w:r>
        <w:t>8.2 Evidence and deferred addresses</w:t>
      </w:r>
    </w:p>
    <w:p>
      <w:pPr/>
      <w:r>
        <w:rPr>
          <w:i w:val="0"/>
        </w:rPr>
        <w:t>The actual Dev Fund addresses are intentionally not required during specification or prototype design. They will be supplied only after the prototype application has been reviewed and a decision has been made to begin heavy testing.</w:t>
      </w:r>
    </w:p>
    <w:p>
      <w:pPr>
        <w:pStyle w:val="Requirement"/>
      </w:pPr>
      <w:r>
        <w:rPr>
          <w:b/>
        </w:rPr>
        <w:t xml:space="preserve">VF-FEE-007: </w:t>
      </w:r>
      <w:r>
        <w:t>A Commitment Vault Lock is not valid for Base issuance unless the proof establishes the exact actual fee and transfer to the configured source-environment Dev Fund destination.</w:t>
      </w:r>
    </w:p>
    <w:p>
      <w:pPr>
        <w:pStyle w:val="Requirement"/>
      </w:pPr>
      <w:r>
        <w:rPr>
          <w:b/>
        </w:rPr>
        <w:t xml:space="preserve">VF-FEE-008: </w:t>
      </w:r>
      <w:r>
        <w:t>Fee-routing evidence and principal-lock evidence must both refer to the same completed Commitment Vault Lock.</w:t>
      </w:r>
    </w:p>
    <w:p>
      <w:pPr>
        <w:pStyle w:val="Requirement"/>
      </w:pPr>
      <w:r>
        <w:rPr>
          <w:b/>
        </w:rPr>
        <w:t xml:space="preserve">VF-FEE-009: </w:t>
      </w:r>
      <w:r>
        <w:t>Missing, zero, guessed, or substitute Dev Fund addresses cannot complete a deployment package.</w:t>
      </w:r>
    </w:p>
    <w:p>
      <w:pPr>
        <w:pStyle w:val="Requirement"/>
      </w:pPr>
      <w:r>
        <w:rPr>
          <w:b/>
        </w:rPr>
        <w:t xml:space="preserve">VF-FEE-010: </w:t>
      </w:r>
      <w:r>
        <w:t>Prototype design must expose required destination configuration fields without requesting or inventing production addresses.</w:t>
      </w:r>
    </w:p>
    <w:p>
      <w:pPr>
        <w:pStyle w:val="Requirement"/>
      </w:pPr>
      <w:r>
        <w:rPr>
          <w:b/>
        </w:rPr>
        <w:t xml:space="preserve">VF-FEE-011: </w:t>
      </w:r>
      <w:r>
        <w:t>A fee actually and irreversibly transferred to the configured Dev Fund destination remains permanently non-refundable even if the source transaction is later unrecognized, over-limit, or permanently unable to authorize Base issuance. No discretionary refund mechanism exists.</w:t>
      </w:r>
    </w:p>
    <w:p>
      <w:pPr>
        <w:pStyle w:val="Requirement"/>
      </w:pPr>
      <w:r>
        <w:rPr>
          <w:b/>
        </w:rPr>
        <w:t xml:space="preserve">VF-FEE-012: </w:t>
      </w:r>
      <w:r>
        <w:t>Fee-routing failure prevents Base issuance and Reward-Accounting Credit but never prevents release of matured Commitment Vault principal.</w:t>
      </w:r>
    </w:p>
    <w:p>
      <w:pPr>
        <w:pStyle w:val="Heading1"/>
      </w:pPr>
      <w:r>
        <w:t>9. Reward-Accounting Credit and Epoch Reward Basis</w:t>
      </w:r>
    </w:p>
    <w:p>
      <w:pPr/>
      <w:r>
        <w:rPr>
          <w:i w:val="0"/>
        </w:rPr>
        <w:t>Each successfully verified Commitment Vault fee creates a one-time numerical Reward-Accounting Credit. The credit is accounting state only: it is not an asset balance, is not deposited into a treasury, cannot be withdrawn, and creates no claim against Dev Fund assets.</w:t>
      </w:r>
    </w:p>
    <w:p>
      <w:pPr>
        <w:spacing w:before="80" w:after="140"/>
        <w:jc w:val="center"/>
      </w:pPr>
      <w:r>
        <w:rPr>
          <w:b/>
          <w:color w:val="18324B"/>
        </w:rPr>
        <w:t>Reward-Accounting Credit = Verified USD Fee Value x 60%</w:t>
      </w:r>
    </w:p>
    <w:p>
      <w:pPr>
        <w:spacing w:before="80" w:after="140"/>
        <w:jc w:val="center"/>
      </w:pPr>
      <w:r>
        <w:rPr>
          <w:b/>
          <w:color w:val="18324B"/>
        </w:rPr>
        <w:t>Epoch Reward Basis = sum of Reward-Accounting Credits in the epoch</w:t>
      </w:r>
    </w:p>
    <w:p>
      <w:pPr>
        <w:spacing w:before="80" w:after="140"/>
        <w:jc w:val="center"/>
      </w:pPr>
      <w:r>
        <w:rPr>
          <w:b/>
          <w:color w:val="18324B"/>
        </w:rPr>
        <w:t>Epoch Reward VCLM = Epoch Reward Basis / $0.10</w:t>
      </w:r>
    </w:p>
    <w:p>
      <w:pPr>
        <w:pStyle w:val="Requirement"/>
      </w:pPr>
      <w:r>
        <w:rPr>
          <w:b/>
        </w:rPr>
        <w:t xml:space="preserve">VF-RAC-001: </w:t>
      </w:r>
      <w:r>
        <w:t>Verified USD Fee Value is the accepted USD valuation of the actual rounded fee collected.</w:t>
      </w:r>
    </w:p>
    <w:p>
      <w:pPr>
        <w:pStyle w:val="Requirement"/>
      </w:pPr>
      <w:r>
        <w:rPr>
          <w:b/>
        </w:rPr>
        <w:t xml:space="preserve">VF-RAC-002: </w:t>
      </w:r>
      <w:r>
        <w:t>Reward-Accounting Credit equals 60% of Verified USD Fee Value.</w:t>
      </w:r>
    </w:p>
    <w:p>
      <w:pPr>
        <w:pStyle w:val="Requirement"/>
      </w:pPr>
      <w:r>
        <w:rPr>
          <w:b/>
        </w:rPr>
        <w:t xml:space="preserve">VF-RAC-003: </w:t>
      </w:r>
      <w:r>
        <w:t>A Reward-Accounting Credit is assigned to the 10-day epoch in which it is successfully recorded on Base.</w:t>
      </w:r>
    </w:p>
    <w:p>
      <w:pPr>
        <w:pStyle w:val="Requirement"/>
      </w:pPr>
      <w:r>
        <w:rPr>
          <w:b/>
        </w:rPr>
        <w:t xml:space="preserve">VF-RAC-004: </w:t>
      </w:r>
      <w:r>
        <w:t>Epoch Reward Basis is the sum of all Reward-Accounting Credits assigned to that epoch.</w:t>
      </w:r>
    </w:p>
    <w:p>
      <w:pPr>
        <w:pStyle w:val="Requirement"/>
      </w:pPr>
      <w:r>
        <w:rPr>
          <w:b/>
        </w:rPr>
        <w:t xml:space="preserve">VF-RAC-005: </w:t>
      </w:r>
      <w:r>
        <w:t>Epoch Reward VCLM is calculated using the permanent $0.10 Reward Reference Value, not an oracle or market price.</w:t>
      </w:r>
    </w:p>
    <w:p>
      <w:pPr>
        <w:pStyle w:val="Requirement"/>
      </w:pPr>
      <w:r>
        <w:rPr>
          <w:b/>
        </w:rPr>
        <w:t xml:space="preserve">VF-RAC-006: </w:t>
      </w:r>
      <w:r>
        <w:t>When the epoch calculation and position allocation are successfully and irreversibly recorded, every included credit becomes a Used Reward-Accounting Credit and can never be included again.</w:t>
      </w:r>
    </w:p>
    <w:p>
      <w:pPr>
        <w:pStyle w:val="Requirement"/>
      </w:pPr>
      <w:r>
        <w:rPr>
          <w:b/>
        </w:rPr>
        <w:t xml:space="preserve">VF-RAC-007: </w:t>
      </w:r>
      <w:r>
        <w:t>Reward-Accounting Credit does not transfer, reserve, collateralize, or encumber any Dev Fund asset.</w:t>
      </w:r>
    </w:p>
    <w:p>
      <w:pPr>
        <w:pStyle w:val="Requirement"/>
      </w:pPr>
      <w:r>
        <w:rPr>
          <w:b/>
        </w:rPr>
        <w:t xml:space="preserve">VF-RAC-008: </w:t>
      </w:r>
      <w:r>
        <w:t>After remaining lifetime VCLM issuance capacity reaches zero, later fees do not create Reward-Accounting Credits.</w:t>
      </w:r>
    </w:p>
    <w:p>
      <w:pPr>
        <w:pStyle w:val="Heading1"/>
      </w:pPr>
      <w:r>
        <w:t>10. Treasury Reward Stake</w:t>
      </w:r>
    </w:p>
    <w:p>
      <w:pPr/>
      <w:r>
        <w:rPr>
          <w:i w:val="0"/>
        </w:rPr>
        <w:t>Treasury Reward Stake is a mechanism separate from Commitment Vault Locks. It is active from protocol launch. VCLM may be staked as soon as a user acquires it. CHONX and SYNTH become eligible when those tokens become available.</w:t>
      </w:r>
    </w:p>
    <w:p>
      <w:pPr>
        <w:pStyle w:val="Heading2"/>
      </w:pPr>
      <w:r>
        <w:t>10.1 Weight</w:t>
      </w:r>
    </w:p>
    <w:p>
      <w:pPr>
        <w:keepNext/>
        <w:spacing w:before="80" w:after="140"/>
        <w:jc w:val="center"/>
      </w:pPr>
      <w:r>
        <w:rPr>
          <w:b/>
          <w:color w:val="18324B"/>
        </w:rPr>
        <w:t>Treasury Reward Stake Weight = staked amount x token multiplier x staking-duration multiplier</w:t>
      </w:r>
    </w:p>
    <w:tbl>
      <w:tblPr>
        <w:tblStyle w:val="TableGrid"/>
        <w:tblW w:type="dxa" w:w="9648"/>
        <w:jc w:val="left"/>
        <w:tblLayout w:type="fixed"/>
        <w:tblLook w:firstColumn="1" w:firstRow="1" w:lastColumn="0" w:lastRow="0" w:noHBand="0" w:noVBand="1" w:val="04A0"/>
        <w:tblInd w:w="120" w:type="dxa"/>
      </w:tblPr>
      <w:tblGrid>
        <w:gridCol w:w="4680"/>
        <w:gridCol w:w="4968"/>
      </w:tblGrid>
      <w:tr>
        <w:trPr>
          <w:tblHeader w:val="true"/>
          <w:cantSplit/>
        </w:trPr>
        <w:tc>
          <w:tcPr>
            <w:tcW w:type="dxa" w:w="4680"/>
            <w:shd w:fill="18324B"/>
            <w:tcMar>
              <w:top w:w="72" w:type="dxa"/>
              <w:start w:w="90" w:type="dxa"/>
              <w:bottom w:w="72" w:type="dxa"/>
              <w:end w:w="90" w:type="dxa"/>
            </w:tcMar>
            <w:vAlign w:val="center"/>
          </w:tcPr>
          <w:p>
            <w:pPr>
              <w:keepNext/>
              <w:spacing w:after="0"/>
              <w:jc w:val="center"/>
            </w:pPr>
            <w:r>
              <w:rPr>
                <w:rFonts w:ascii="Aptos" w:hAnsi="Aptos" w:eastAsia="Aptos"/>
                <w:b/>
                <w:color w:val="FFFFFF"/>
                <w:sz w:val="16"/>
              </w:rPr>
              <w:t>Token</w:t>
            </w:r>
          </w:p>
        </w:tc>
        <w:tc>
          <w:tcPr>
            <w:tcW w:type="dxa" w:w="4968"/>
            <w:shd w:fill="18324B"/>
            <w:tcMar>
              <w:top w:w="72" w:type="dxa"/>
              <w:start w:w="90" w:type="dxa"/>
              <w:bottom w:w="72" w:type="dxa"/>
              <w:end w:w="90" w:type="dxa"/>
            </w:tcMar>
            <w:vAlign w:val="center"/>
          </w:tcPr>
          <w:p>
            <w:pPr>
              <w:keepNext/>
              <w:spacing w:after="0"/>
              <w:jc w:val="center"/>
            </w:pPr>
            <w:r>
              <w:rPr>
                <w:rFonts w:ascii="Aptos" w:hAnsi="Aptos" w:eastAsia="Aptos"/>
                <w:b/>
                <w:color w:val="FFFFFF"/>
                <w:sz w:val="16"/>
              </w:rPr>
              <w:t>Token multiplier</w:t>
            </w:r>
          </w:p>
        </w:tc>
      </w:tr>
      <w:tr>
        <w:trPr>
          <w:cantSplit/>
        </w:trPr>
        <w:tc>
          <w:tcPr>
            <w:tcW w:type="dxa" w:w="4680"/>
            <w:tcMar>
              <w:top w:w="72" w:type="dxa"/>
              <w:start w:w="90" w:type="dxa"/>
              <w:bottom w:w="72" w:type="dxa"/>
              <w:end w:w="90" w:type="dxa"/>
            </w:tcMar>
            <w:vAlign w:val="center"/>
          </w:tcPr>
          <w:p>
            <w:pPr>
              <w:keepNext/>
              <w:spacing w:after="0" w:line="240" w:lineRule="auto"/>
              <w:jc w:val="center"/>
            </w:pPr>
            <w:r>
              <w:rPr>
                <w:rFonts w:ascii="Aptos" w:hAnsi="Aptos" w:eastAsia="Aptos"/>
                <w:sz w:val="16"/>
              </w:rPr>
              <w:t>VCLM</w:t>
            </w:r>
          </w:p>
        </w:tc>
        <w:tc>
          <w:tcPr>
            <w:tcW w:type="dxa" w:w="4968"/>
            <w:tcMar>
              <w:top w:w="72" w:type="dxa"/>
              <w:start w:w="90" w:type="dxa"/>
              <w:bottom w:w="72" w:type="dxa"/>
              <w:end w:w="90" w:type="dxa"/>
            </w:tcMar>
            <w:vAlign w:val="center"/>
          </w:tcPr>
          <w:p>
            <w:pPr>
              <w:keepNext/>
              <w:spacing w:after="0" w:line="240" w:lineRule="auto"/>
              <w:jc w:val="center"/>
            </w:pPr>
            <w:r>
              <w:rPr>
                <w:rFonts w:ascii="Aptos" w:hAnsi="Aptos" w:eastAsia="Aptos"/>
                <w:sz w:val="16"/>
              </w:rPr>
              <w:t>1.0x</w:t>
            </w:r>
          </w:p>
        </w:tc>
      </w:tr>
      <w:tr>
        <w:trPr>
          <w:cantSplit/>
        </w:trPr>
        <w:tc>
          <w:tcPr>
            <w:tcW w:type="dxa" w:w="4680"/>
            <w:tcMar>
              <w:top w:w="72" w:type="dxa"/>
              <w:start w:w="90" w:type="dxa"/>
              <w:bottom w:w="72" w:type="dxa"/>
              <w:end w:w="90" w:type="dxa"/>
            </w:tcMar>
            <w:vAlign w:val="center"/>
            <w:shd w:fill="F3F7FA"/>
          </w:tcPr>
          <w:p>
            <w:pPr>
              <w:keepNext/>
              <w:spacing w:after="0" w:line="240" w:lineRule="auto"/>
              <w:jc w:val="center"/>
            </w:pPr>
            <w:r>
              <w:rPr>
                <w:rFonts w:ascii="Aptos" w:hAnsi="Aptos" w:eastAsia="Aptos"/>
                <w:sz w:val="16"/>
              </w:rPr>
              <w:t>CHONX</w:t>
            </w:r>
          </w:p>
        </w:tc>
        <w:tc>
          <w:tcPr>
            <w:tcW w:type="dxa" w:w="4968"/>
            <w:tcMar>
              <w:top w:w="72" w:type="dxa"/>
              <w:start w:w="90" w:type="dxa"/>
              <w:bottom w:w="72" w:type="dxa"/>
              <w:end w:w="90" w:type="dxa"/>
            </w:tcMar>
            <w:vAlign w:val="center"/>
            <w:shd w:fill="F3F7FA"/>
          </w:tcPr>
          <w:p>
            <w:pPr>
              <w:keepNext/>
              <w:spacing w:after="0" w:line="240" w:lineRule="auto"/>
              <w:jc w:val="center"/>
            </w:pPr>
            <w:r>
              <w:rPr>
                <w:rFonts w:ascii="Aptos" w:hAnsi="Aptos" w:eastAsia="Aptos"/>
                <w:sz w:val="16"/>
              </w:rPr>
              <w:t>2.0x</w:t>
            </w:r>
          </w:p>
        </w:tc>
      </w:tr>
      <w:tr>
        <w:trPr>
          <w:cantSplit/>
        </w:trPr>
        <w:tc>
          <w:tcPr>
            <w:tcW w:type="dxa" w:w="4680"/>
            <w:tcMar>
              <w:top w:w="72" w:type="dxa"/>
              <w:start w:w="90" w:type="dxa"/>
              <w:bottom w:w="72" w:type="dxa"/>
              <w:end w:w="90" w:type="dxa"/>
            </w:tcMar>
            <w:vAlign w:val="center"/>
          </w:tcPr>
          <w:p>
            <w:pPr>
              <w:spacing w:after="0" w:line="240" w:lineRule="auto"/>
              <w:jc w:val="center"/>
            </w:pPr>
            <w:r>
              <w:rPr>
                <w:rFonts w:ascii="Aptos" w:hAnsi="Aptos" w:eastAsia="Aptos"/>
                <w:sz w:val="16"/>
              </w:rPr>
              <w:t>SYNTH</w:t>
            </w:r>
          </w:p>
        </w:tc>
        <w:tc>
          <w:tcPr>
            <w:tcW w:type="dxa" w:w="4968"/>
            <w:tcMar>
              <w:top w:w="72" w:type="dxa"/>
              <w:start w:w="90" w:type="dxa"/>
              <w:bottom w:w="72" w:type="dxa"/>
              <w:end w:w="90" w:type="dxa"/>
            </w:tcMar>
            <w:vAlign w:val="center"/>
          </w:tcPr>
          <w:p>
            <w:pPr>
              <w:spacing w:after="0" w:line="240" w:lineRule="auto"/>
              <w:jc w:val="center"/>
            </w:pPr>
            <w:r>
              <w:rPr>
                <w:rFonts w:ascii="Aptos" w:hAnsi="Aptos" w:eastAsia="Aptos"/>
                <w:sz w:val="16"/>
              </w:rPr>
              <w:t>4.0x</w:t>
            </w:r>
          </w:p>
        </w:tc>
      </w:tr>
    </w:tbl>
    <w:p>
      <w:pPr>
        <w:spacing w:after="20"/>
      </w:pPr>
    </w:p>
    <w:tbl>
      <w:tblPr>
        <w:tblStyle w:val="TableGrid"/>
        <w:tblW w:type="dxa" w:w="9648"/>
        <w:jc w:val="left"/>
        <w:tblLayout w:type="fixed"/>
        <w:tblLook w:firstColumn="1" w:firstRow="1" w:lastColumn="0" w:lastRow="0" w:noHBand="0" w:noVBand="1" w:val="04A0"/>
        <w:tblInd w:w="120" w:type="dxa"/>
      </w:tblPr>
      <w:tblGrid>
        <w:gridCol w:w="4680"/>
        <w:gridCol w:w="4968"/>
      </w:tblGrid>
      <w:tr>
        <w:trPr>
          <w:tblHeader w:val="true"/>
          <w:cantSplit/>
        </w:trPr>
        <w:tc>
          <w:tcPr>
            <w:tcW w:type="dxa" w:w="4680"/>
            <w:shd w:fill="18324B"/>
            <w:tcMar>
              <w:top w:w="72" w:type="dxa"/>
              <w:start w:w="90" w:type="dxa"/>
              <w:bottom w:w="72" w:type="dxa"/>
              <w:end w:w="90" w:type="dxa"/>
            </w:tcMar>
            <w:vAlign w:val="center"/>
          </w:tcPr>
          <w:p>
            <w:pPr>
              <w:spacing w:after="0"/>
              <w:jc w:val="center"/>
            </w:pPr>
            <w:r>
              <w:rPr>
                <w:rFonts w:ascii="Aptos" w:hAnsi="Aptos" w:eastAsia="Aptos"/>
                <w:b/>
                <w:color w:val="FFFFFF"/>
                <w:sz w:val="16"/>
              </w:rPr>
              <w:t>Duration</w:t>
            </w:r>
          </w:p>
        </w:tc>
        <w:tc>
          <w:tcPr>
            <w:tcW w:type="dxa" w:w="4968"/>
            <w:shd w:fill="18324B"/>
            <w:tcMar>
              <w:top w:w="72" w:type="dxa"/>
              <w:start w:w="90" w:type="dxa"/>
              <w:bottom w:w="72" w:type="dxa"/>
              <w:end w:w="90" w:type="dxa"/>
            </w:tcMar>
            <w:vAlign w:val="center"/>
          </w:tcPr>
          <w:p>
            <w:pPr>
              <w:spacing w:after="0"/>
              <w:jc w:val="center"/>
            </w:pPr>
            <w:r>
              <w:rPr>
                <w:rFonts w:ascii="Aptos" w:hAnsi="Aptos" w:eastAsia="Aptos"/>
                <w:b/>
                <w:color w:val="FFFFFF"/>
                <w:sz w:val="16"/>
              </w:rPr>
              <w:t>Staking-duration multiplier</w:t>
            </w:r>
          </w:p>
        </w:tc>
      </w:tr>
      <w:tr>
        <w:trPr>
          <w:cantSplit/>
        </w:trPr>
        <w:tc>
          <w:tcPr>
            <w:tcW w:type="dxa" w:w="4680"/>
            <w:tcMar>
              <w:top w:w="72" w:type="dxa"/>
              <w:start w:w="90" w:type="dxa"/>
              <w:bottom w:w="72" w:type="dxa"/>
              <w:end w:w="90" w:type="dxa"/>
            </w:tcMar>
            <w:vAlign w:val="center"/>
          </w:tcPr>
          <w:p>
            <w:pPr>
              <w:spacing w:after="0" w:line="240" w:lineRule="auto"/>
              <w:jc w:val="center"/>
            </w:pPr>
            <w:r>
              <w:rPr>
                <w:rFonts w:ascii="Aptos" w:hAnsi="Aptos" w:eastAsia="Aptos"/>
                <w:sz w:val="16"/>
              </w:rPr>
              <w:t>30 days</w:t>
            </w:r>
          </w:p>
        </w:tc>
        <w:tc>
          <w:tcPr>
            <w:tcW w:type="dxa" w:w="4968"/>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r>
      <w:tr>
        <w:trPr>
          <w:cantSplit/>
        </w:trPr>
        <w:tc>
          <w:tcPr>
            <w:tcW w:type="dxa" w:w="4680"/>
            <w:tcMar>
              <w:top w:w="72" w:type="dxa"/>
              <w:start w:w="90" w:type="dxa"/>
              <w:bottom w:w="72" w:type="dxa"/>
              <w:end w:w="90" w:type="dxa"/>
            </w:tcMar>
            <w:vAlign w:val="center"/>
            <w:shd w:fill="F3F7FA"/>
          </w:tcPr>
          <w:p>
            <w:pPr>
              <w:spacing w:after="0" w:line="240" w:lineRule="auto"/>
              <w:jc w:val="center"/>
            </w:pPr>
            <w:r>
              <w:rPr>
                <w:rFonts w:ascii="Aptos" w:hAnsi="Aptos" w:eastAsia="Aptos"/>
                <w:sz w:val="16"/>
              </w:rPr>
              <w:t>60 days</w:t>
            </w:r>
          </w:p>
        </w:tc>
        <w:tc>
          <w:tcPr>
            <w:tcW w:type="dxa" w:w="4968"/>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1.4x</w:t>
            </w:r>
          </w:p>
        </w:tc>
      </w:tr>
      <w:tr>
        <w:trPr>
          <w:cantSplit/>
        </w:trPr>
        <w:tc>
          <w:tcPr>
            <w:tcW w:type="dxa" w:w="4680"/>
            <w:tcMar>
              <w:top w:w="72" w:type="dxa"/>
              <w:start w:w="90" w:type="dxa"/>
              <w:bottom w:w="72" w:type="dxa"/>
              <w:end w:w="90" w:type="dxa"/>
            </w:tcMar>
            <w:vAlign w:val="center"/>
          </w:tcPr>
          <w:p>
            <w:pPr>
              <w:spacing w:after="0" w:line="240" w:lineRule="auto"/>
              <w:jc w:val="center"/>
            </w:pPr>
            <w:r>
              <w:rPr>
                <w:rFonts w:ascii="Aptos" w:hAnsi="Aptos" w:eastAsia="Aptos"/>
                <w:sz w:val="16"/>
              </w:rPr>
              <w:t>90 days</w:t>
            </w:r>
          </w:p>
        </w:tc>
        <w:tc>
          <w:tcPr>
            <w:tcW w:type="dxa" w:w="4968"/>
            <w:tcMar>
              <w:top w:w="72" w:type="dxa"/>
              <w:start w:w="90" w:type="dxa"/>
              <w:bottom w:w="72" w:type="dxa"/>
              <w:end w:w="90" w:type="dxa"/>
            </w:tcMar>
            <w:vAlign w:val="center"/>
          </w:tcPr>
          <w:p>
            <w:pPr>
              <w:spacing w:after="0" w:line="240" w:lineRule="auto"/>
              <w:jc w:val="center"/>
            </w:pPr>
            <w:r>
              <w:rPr>
                <w:rFonts w:ascii="Aptos" w:hAnsi="Aptos" w:eastAsia="Aptos"/>
                <w:sz w:val="16"/>
              </w:rPr>
              <w:t>1.75x</w:t>
            </w:r>
          </w:p>
        </w:tc>
      </w:tr>
      <w:tr>
        <w:trPr>
          <w:cantSplit/>
        </w:trPr>
        <w:tc>
          <w:tcPr>
            <w:tcW w:type="dxa" w:w="4680"/>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120 days</w:t>
            </w:r>
          </w:p>
        </w:tc>
        <w:tc>
          <w:tcPr>
            <w:tcW w:type="dxa" w:w="4968"/>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2.0x</w:t>
            </w:r>
          </w:p>
        </w:tc>
      </w:tr>
    </w:tbl>
    <w:p>
      <w:pPr>
        <w:spacing w:after="20"/>
      </w:pPr>
    </w:p>
    <w:p>
      <w:pPr>
        <w:pStyle w:val="Requirement"/>
      </w:pPr>
      <w:r>
        <w:rPr>
          <w:b/>
        </w:rPr>
        <w:t xml:space="preserve">VF-STK-001: </w:t>
      </w:r>
      <w:r>
        <w:t>Treasury Reward Stake is active from protocol launch and does not depend on CHONX activation.</w:t>
      </w:r>
    </w:p>
    <w:p>
      <w:pPr>
        <w:pStyle w:val="Requirement"/>
      </w:pPr>
      <w:r>
        <w:rPr>
          <w:b/>
        </w:rPr>
        <w:t xml:space="preserve">VF-STK-002: </w:t>
      </w:r>
      <w:r>
        <w:t>Only VCLM, CHONX, and SYNTH may be placed in Treasury Reward Stake.</w:t>
      </w:r>
    </w:p>
    <w:p>
      <w:pPr>
        <w:pStyle w:val="Requirement"/>
      </w:pPr>
      <w:r>
        <w:rPr>
          <w:b/>
        </w:rPr>
        <w:t xml:space="preserve">VF-STK-003: </w:t>
      </w:r>
      <w:r>
        <w:t>Only the token and duration multipliers listed in Section 10.1 apply.</w:t>
      </w:r>
    </w:p>
    <w:p>
      <w:pPr>
        <w:pStyle w:val="Requirement"/>
      </w:pPr>
      <w:r>
        <w:rPr>
          <w:b/>
        </w:rPr>
        <w:t xml:space="preserve">VF-STK-004: </w:t>
      </w:r>
      <w:r>
        <w:t>Rewards are paid only in newly minted VCLM.</w:t>
      </w:r>
    </w:p>
    <w:p>
      <w:pPr>
        <w:pStyle w:val="Requirement"/>
      </w:pPr>
      <w:r>
        <w:rPr>
          <w:b/>
        </w:rPr>
        <w:t xml:space="preserve">VF-STK-005: </w:t>
      </w:r>
      <w:r>
        <w:t>S1, S2, and S3 classifications and acquisition history never affect Treasury Reward Stake Weight.</w:t>
      </w:r>
    </w:p>
    <w:p>
      <w:pPr>
        <w:pStyle w:val="Heading2"/>
      </w:pPr>
      <w:r>
        <w:t>10.2 Fixed 10-day epochs</w:t>
      </w:r>
    </w:p>
    <w:p>
      <w:pPr/>
      <w:r>
        <w:rPr>
          <w:i w:val="0"/>
        </w:rPr>
        <w:t>Protocol launch defines T0. Epoch N is the half-open interval beginning at T0 plus (N - 1) times 10 days and ending at T0 plus N times 10 days. Activity at the exact ending timestamp belongs to the following epoch.</w:t>
      </w:r>
    </w:p>
    <w:p>
      <w:pPr>
        <w:pStyle w:val="Requirement"/>
      </w:pPr>
      <w:r>
        <w:rPr>
          <w:b/>
        </w:rPr>
        <w:t xml:space="preserve">VF-STK-006: </w:t>
      </w:r>
      <w:r>
        <w:t>Every epoch has a fixed scheduled duration of exactly 10 days.</w:t>
      </w:r>
    </w:p>
    <w:p>
      <w:pPr>
        <w:pStyle w:val="Requirement"/>
      </w:pPr>
      <w:r>
        <w:rPr>
          <w:b/>
        </w:rPr>
        <w:t xml:space="preserve">VF-STK-007: </w:t>
      </w:r>
      <w:r>
        <w:t>A Reward-Accounting Credit belongs to the epoch in which it is successfully recorded on Base and may not be added to an ended epoch.</w:t>
      </w:r>
    </w:p>
    <w:p>
      <w:pPr>
        <w:pStyle w:val="Requirement"/>
      </w:pPr>
      <w:r>
        <w:rPr>
          <w:b/>
        </w:rPr>
        <w:t xml:space="preserve">VF-STK-008: </w:t>
      </w:r>
      <w:r>
        <w:t>Anyone may submit the transaction that finalizes an epoch after its scheduled ending timestamp.</w:t>
      </w:r>
    </w:p>
    <w:p>
      <w:pPr>
        <w:pStyle w:val="Requirement"/>
      </w:pPr>
      <w:r>
        <w:rPr>
          <w:b/>
        </w:rPr>
        <w:t xml:space="preserve">VF-STK-009: </w:t>
      </w:r>
      <w:r>
        <w:t>Delayed finalization does not shift, lengthen, shorten, or reset any epoch boundary.</w:t>
      </w:r>
    </w:p>
    <w:p>
      <w:pPr>
        <w:pStyle w:val="Requirement"/>
      </w:pPr>
      <w:r>
        <w:rPr>
          <w:b/>
        </w:rPr>
        <w:t xml:space="preserve">VF-STK-010: </w:t>
      </w:r>
      <w:r>
        <w:t>Pending epochs must be finalized in chronological order.</w:t>
      </w:r>
    </w:p>
    <w:p>
      <w:pPr>
        <w:pStyle w:val="Heading2"/>
      </w:pPr>
      <w:r>
        <w:t>10.3 Position eligibility and delayed reward allocation</w:t>
      </w:r>
    </w:p>
    <w:p>
      <w:pPr/>
      <w:r>
        <w:rPr>
          <w:i w:val="0"/>
        </w:rPr>
        <w:t>Rewards are processed one epoch behind. A position earning for epoch N must be active at the exact beginning of N, remain continuously active through N, and remain active through the scheduled end of N+1. The scheduled timestamp controls eligibility even if finalization is delayed.</w:t>
      </w:r>
    </w:p>
    <w:p>
      <w:pPr>
        <w:pStyle w:val="Requirement"/>
      </w:pPr>
      <w:r>
        <w:rPr>
          <w:b/>
        </w:rPr>
        <w:t xml:space="preserve">VF-STK-011: </w:t>
      </w:r>
      <w:r>
        <w:t>A position that begins after an earning epoch starts does not qualify for that earning epoch.</w:t>
      </w:r>
    </w:p>
    <w:p>
      <w:pPr>
        <w:pStyle w:val="Requirement"/>
      </w:pPr>
      <w:r>
        <w:rPr>
          <w:b/>
        </w:rPr>
        <w:t xml:space="preserve">VF-STK-012: </w:t>
      </w:r>
      <w:r>
        <w:t>A position that expires before the scheduled end of the following epoch does not qualify for the earlier earning epoch's reward.</w:t>
      </w:r>
    </w:p>
    <w:p>
      <w:pPr>
        <w:pStyle w:val="Requirement"/>
      </w:pPr>
      <w:r>
        <w:rPr>
          <w:b/>
        </w:rPr>
        <w:t xml:space="preserve">VF-STK-013: </w:t>
      </w:r>
      <w:r>
        <w:t>An entitlement for epoch N becomes fixed and allocatable after the scheduled end of epoch N+1.</w:t>
      </w:r>
    </w:p>
    <w:p>
      <w:pPr>
        <w:pStyle w:val="Requirement"/>
      </w:pPr>
      <w:r>
        <w:rPr>
          <w:b/>
        </w:rPr>
        <w:t xml:space="preserve">VF-STK-014: </w:t>
      </w:r>
      <w:r>
        <w:t>The complete Epoch Reward VCLM is minted once to the immutable Treasury Reward Stake contract, and proportional position entitlements are then recorded.</w:t>
      </w:r>
    </w:p>
    <w:p>
      <w:pPr>
        <w:pStyle w:val="Requirement"/>
      </w:pPr>
      <w:r>
        <w:rPr>
          <w:b/>
        </w:rPr>
        <w:t xml:space="preserve">VF-STK-015: </w:t>
      </w:r>
      <w:r>
        <w:t>If an epoch has zero eligible Treasury Reward Stake Weight, it mints no VCLM, closes, marks its credits used, and carries no value forward.</w:t>
      </w:r>
    </w:p>
    <w:p>
      <w:pPr>
        <w:pStyle w:val="Heading2"/>
      </w:pPr>
      <w:r>
        <w:t>10.4 Claims and withdrawals</w:t>
      </w:r>
    </w:p>
    <w:p>
      <w:pPr>
        <w:pStyle w:val="Requirement"/>
      </w:pPr>
      <w:r>
        <w:rPr>
          <w:b/>
        </w:rPr>
        <w:t xml:space="preserve">VF-STK-016: </w:t>
      </w:r>
      <w:r>
        <w:t>Recorded claimable VCLM accumulates and never expires.</w:t>
      </w:r>
    </w:p>
    <w:p>
      <w:pPr>
        <w:pStyle w:val="Requirement"/>
      </w:pPr>
      <w:r>
        <w:rPr>
          <w:b/>
        </w:rPr>
        <w:t xml:space="preserve">VF-STK-017: </w:t>
      </w:r>
      <w:r>
        <w:t>A user may claim all currently accumulated VCLM in one transaction.</w:t>
      </w:r>
    </w:p>
    <w:p>
      <w:pPr>
        <w:pStyle w:val="Requirement"/>
      </w:pPr>
      <w:r>
        <w:rPr>
          <w:b/>
        </w:rPr>
        <w:t xml:space="preserve">VF-STK-018: </w:t>
      </w:r>
      <w:r>
        <w:t>Claims transfer already-minted VCLM and do not mint again, recalculate rewards, or consume additional lifetime capacity.</w:t>
      </w:r>
    </w:p>
    <w:p>
      <w:pPr>
        <w:pStyle w:val="Requirement"/>
      </w:pPr>
      <w:r>
        <w:rPr>
          <w:b/>
        </w:rPr>
        <w:t xml:space="preserve">VF-STK-019: </w:t>
      </w:r>
      <w:r>
        <w:t>Claims may be paid only to the position owner or the reward destination bound to the position.</w:t>
      </w:r>
    </w:p>
    <w:p>
      <w:pPr>
        <w:pStyle w:val="Requirement"/>
      </w:pPr>
      <w:r>
        <w:rPr>
          <w:b/>
        </w:rPr>
        <w:t xml:space="preserve">VF-STK-020: </w:t>
      </w:r>
      <w:r>
        <w:t>Withdrawal of matured staked tokens does not erase accumulated claimable VCLM.</w:t>
      </w:r>
    </w:p>
    <w:p>
      <w:pPr>
        <w:pStyle w:val="Heading2"/>
      </w:pPr>
      <w:r>
        <w:t>10.5 Manual extensions</w:t>
      </w:r>
    </w:p>
    <w:p>
      <w:pPr>
        <w:pStyle w:val="Requirement"/>
      </w:pPr>
      <w:r>
        <w:rPr>
          <w:b/>
        </w:rPr>
        <w:t xml:space="preserve">VF-STK-021: </w:t>
      </w:r>
      <w:r>
        <w:t>While a position is active, its user may queue one future term of 30, 60, 90, or 120 days.</w:t>
      </w:r>
    </w:p>
    <w:p>
      <w:pPr>
        <w:pStyle w:val="Requirement"/>
      </w:pPr>
      <w:r>
        <w:rPr>
          <w:b/>
        </w:rPr>
        <w:t xml:space="preserve">VF-STK-022: </w:t>
      </w:r>
      <w:r>
        <w:t>The queued term begins at the scheduled end of the current term; the current multiplier remains unchanged until then.</w:t>
      </w:r>
    </w:p>
    <w:p>
      <w:pPr>
        <w:pStyle w:val="Requirement"/>
      </w:pPr>
      <w:r>
        <w:rPr>
          <w:b/>
        </w:rPr>
        <w:t xml:space="preserve">VF-STK-023: </w:t>
      </w:r>
      <w:r>
        <w:t>Only one future term may be queued at a time. After it begins, another future term may be queued.</w:t>
      </w:r>
    </w:p>
    <w:p>
      <w:pPr>
        <w:pStyle w:val="Requirement"/>
      </w:pPr>
      <w:r>
        <w:rPr>
          <w:b/>
        </w:rPr>
        <w:t xml:space="preserve">VF-STK-024: </w:t>
      </w:r>
      <w:r>
        <w:t>An extension adds or removes no tokens and charges no fee.</w:t>
      </w:r>
    </w:p>
    <w:p>
      <w:pPr>
        <w:pStyle w:val="Requirement"/>
      </w:pPr>
      <w:r>
        <w:rPr>
          <w:b/>
        </w:rPr>
        <w:t xml:space="preserve">VF-STK-025: </w:t>
      </w:r>
      <w:r>
        <w:t>Without a queued extension, the position becomes inactive at maturity; an expired position cannot retroactively cover an inactivity gap.</w:t>
      </w:r>
    </w:p>
    <w:p>
      <w:pPr>
        <w:pStyle w:val="Heading2"/>
      </w:pPr>
      <w:r>
        <w:t>10.6 Distribution rounding and VCLM-cap terminal state</w:t>
      </w:r>
    </w:p>
    <w:p>
      <w:pPr>
        <w:pStyle w:val="Requirement"/>
      </w:pPr>
      <w:r>
        <w:rPr>
          <w:b/>
        </w:rPr>
        <w:t xml:space="preserve">VF-STK-026: </w:t>
      </w:r>
      <w:r>
        <w:t>Each position's proportional reward share is calculated at 18-decimal VCLM precision and rounds down to the nearest VCLM base unit.</w:t>
      </w:r>
    </w:p>
    <w:p>
      <w:pPr>
        <w:pStyle w:val="Requirement"/>
      </w:pPr>
      <w:r>
        <w:rPr>
          <w:b/>
        </w:rPr>
        <w:t xml:space="preserve">VF-STK-027: </w:t>
      </w:r>
      <w:r>
        <w:t>A microscopic distribution remainder remains inaccessible in the immutable Treasury Reward Stake contract and is not carried, redirected, or reused.</w:t>
      </w:r>
    </w:p>
    <w:p>
      <w:pPr>
        <w:pStyle w:val="Requirement"/>
      </w:pPr>
      <w:r>
        <w:rPr>
          <w:b/>
        </w:rPr>
        <w:t xml:space="preserve">VF-STK-028: </w:t>
      </w:r>
      <w:r>
        <w:t>If a complete epoch reward exceeds remaining VCLM lifetime capacity, the epoch mints nothing, closes, and marks its credits used; partial epoch reward minting is prohibited.</w:t>
      </w:r>
    </w:p>
    <w:p>
      <w:pPr>
        <w:pStyle w:val="Requirement"/>
      </w:pPr>
      <w:r>
        <w:rPr>
          <w:b/>
        </w:rPr>
        <w:t xml:space="preserve">VF-STK-029: </w:t>
      </w:r>
      <w:r>
        <w:t>When remaining VCLM lifetime capacity reaches zero, Treasury Reward Stake permanently closes to new positions and extensions.</w:t>
      </w:r>
    </w:p>
    <w:p>
      <w:pPr>
        <w:pStyle w:val="Requirement"/>
      </w:pPr>
      <w:r>
        <w:rPr>
          <w:b/>
        </w:rPr>
        <w:t xml:space="preserve">VF-STK-030: </w:t>
      </w:r>
      <w:r>
        <w:t>At that terminal state, all existing staked tokens become immediately withdrawable while accumulated claimable rewards remain available.</w:t>
      </w:r>
    </w:p>
    <w:p>
      <w:pPr>
        <w:pStyle w:val="Requirement"/>
      </w:pPr>
      <w:r>
        <w:rPr>
          <w:b/>
        </w:rPr>
        <w:t xml:space="preserve">VF-STK-031: </w:t>
      </w:r>
      <w:r>
        <w:t>A Treasury Reward Stake position must contain a positive nonzero token amount; no additional minimum staking amount applies.</w:t>
      </w:r>
    </w:p>
    <w:p>
      <w:pPr>
        <w:pStyle w:val="Heading1"/>
      </w:pPr>
      <w:r>
        <w:t>11. Cross-Chain and Native-Lock Architecture</w:t>
      </w:r>
    </w:p>
    <w:p>
      <w:pPr/>
      <w:r>
        <w:t>Vinculum Finalis supports 17 blockchain environments. Commitment Vault principal remains in its original native or canonical asset form on the source environment. Each environment uses an appropriate deterministic chain-native locking mechanism, while Base performs canonical protocol-token issuance and accounting. Equivalent outcomes, security, and economic performance are required across supported environments; identical contracts, transaction structures, state models, or implementation methods are not.</w:t>
      </w:r>
    </w:p>
    <w:p>
      <w:pPr>
        <w:pStyle w:val="Heading2"/>
      </w:pPr>
      <w:r>
        <w:t>11.1 Supported environments</w:t>
      </w:r>
    </w:p>
    <w:tbl>
      <w:tblPr>
        <w:tblStyle w:val="TableGrid"/>
        <w:tblW w:type="dxa" w:w="9648"/>
        <w:jc w:val="left"/>
        <w:tblLayout w:type="fixed"/>
        <w:tblLook w:firstColumn="1" w:firstRow="1" w:lastColumn="0" w:lastRow="0" w:noHBand="0" w:noVBand="1" w:val="04A0"/>
        <w:tblInd w:w="120" w:type="dxa"/>
      </w:tblPr>
      <w:tblGrid>
        <w:gridCol w:w="1656"/>
        <w:gridCol w:w="5400"/>
        <w:gridCol w:w="2592"/>
      </w:tblGrid>
      <w:tr>
        <w:trPr>
          <w:tblHeader w:val="true"/>
          <w:cantSplit/>
        </w:trPr>
        <w:tc>
          <w:tcPr>
            <w:tcW w:type="dxa" w:w="1656"/>
            <w:shd w:fill="18324B"/>
            <w:tcMar>
              <w:top w:w="72" w:type="dxa"/>
              <w:start w:w="90" w:type="dxa"/>
              <w:bottom w:w="72" w:type="dxa"/>
              <w:end w:w="90" w:type="dxa"/>
            </w:tcMar>
            <w:vAlign w:val="center"/>
          </w:tcPr>
          <w:p>
            <w:pPr>
              <w:spacing w:after="0"/>
              <w:jc w:val="center"/>
            </w:pPr>
            <w:r>
              <w:rPr>
                <w:rFonts w:ascii="Aptos" w:hAnsi="Aptos" w:eastAsia="Aptos"/>
                <w:b/>
                <w:color w:val="FFFFFF"/>
                <w:sz w:val="16"/>
              </w:rPr>
              <w:t>Family</w:t>
            </w:r>
          </w:p>
        </w:tc>
        <w:tc>
          <w:tcPr>
            <w:tcW w:type="dxa" w:w="5400"/>
            <w:shd w:fill="18324B"/>
            <w:tcMar>
              <w:top w:w="72" w:type="dxa"/>
              <w:start w:w="90" w:type="dxa"/>
              <w:bottom w:w="72" w:type="dxa"/>
              <w:end w:w="90" w:type="dxa"/>
            </w:tcMar>
            <w:vAlign w:val="center"/>
          </w:tcPr>
          <w:p>
            <w:pPr>
              <w:spacing w:after="0"/>
              <w:jc w:val="left"/>
            </w:pPr>
            <w:r>
              <w:rPr>
                <w:rFonts w:ascii="Aptos" w:hAnsi="Aptos" w:eastAsia="Aptos"/>
                <w:b/>
                <w:color w:val="FFFFFF"/>
                <w:sz w:val="16"/>
              </w:rPr>
              <w:t>Environment</w:t>
            </w:r>
          </w:p>
        </w:tc>
        <w:tc>
          <w:tcPr>
            <w:tcW w:type="dxa" w:w="2592"/>
            <w:shd w:fill="18324B"/>
            <w:tcMar>
              <w:top w:w="72" w:type="dxa"/>
              <w:start w:w="90" w:type="dxa"/>
              <w:bottom w:w="72" w:type="dxa"/>
              <w:end w:w="90" w:type="dxa"/>
            </w:tcMar>
            <w:vAlign w:val="center"/>
          </w:tcPr>
          <w:p>
            <w:pPr>
              <w:spacing w:after="0"/>
              <w:jc w:val="center"/>
            </w:pPr>
            <w:r>
              <w:rPr>
                <w:rFonts w:ascii="Aptos" w:hAnsi="Aptos" w:eastAsia="Aptos"/>
                <w:b/>
                <w:color w:val="FFFFFF"/>
                <w:sz w:val="16"/>
              </w:rPr>
              <w:t>Registry entries</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Ethereum</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495</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BNB Smart Chain</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156</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Avalanche</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91</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Polygon</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78</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Arbitrum</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43</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Base</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33</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Optimism</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18</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Bitcoin</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Bitcoin Cash</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Solana</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78</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XRP Ledger</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Stellar</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Cosmos</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Litecoin</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Dogecoin</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tcPr>
          <w:p>
            <w:pPr>
              <w:spacing w:after="0" w:line="240" w:lineRule="auto"/>
              <w:jc w:val="left"/>
            </w:pPr>
            <w:r>
              <w:rPr>
                <w:rFonts w:ascii="Aptos" w:hAnsi="Aptos" w:eastAsia="Aptos"/>
                <w:sz w:val="16"/>
              </w:rPr>
              <w:t>DigiByte</w:t>
            </w:r>
          </w:p>
        </w:tc>
        <w:tc>
          <w:tcPr>
            <w:tcW w:type="dxa" w:w="2592"/>
            <w:tcMar>
              <w:top w:w="72" w:type="dxa"/>
              <w:start w:w="90" w:type="dxa"/>
              <w:bottom w:w="72" w:type="dxa"/>
              <w:end w:w="90" w:type="dxa"/>
            </w:tcMar>
            <w:vAlign w:val="center"/>
          </w:tcPr>
          <w:p>
            <w:pPr>
              <w:spacing w:after="0" w:line="240" w:lineRule="auto"/>
              <w:jc w:val="center"/>
            </w:pPr>
            <w:r>
              <w:rPr>
                <w:rFonts w:ascii="Aptos" w:hAnsi="Aptos" w:eastAsia="Aptos"/>
                <w:sz w:val="16"/>
              </w:rPr>
              <w:t>1</w:t>
            </w:r>
          </w:p>
        </w:tc>
      </w:tr>
      <w:tr>
        <w:trPr>
          <w:cantSplit/>
        </w:trPr>
        <w:tc>
          <w:tcPr>
            <w:tcW w:type="dxa" w:w="165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Non-EVM</w:t>
            </w:r>
          </w:p>
        </w:tc>
        <w:tc>
          <w:tcPr>
            <w:tcW w:type="dxa" w:w="5400"/>
            <w:tcMar>
              <w:top w:w="72" w:type="dxa"/>
              <w:start w:w="90" w:type="dxa"/>
              <w:bottom w:w="72" w:type="dxa"/>
              <w:end w:w="90" w:type="dxa"/>
            </w:tcMar>
            <w:vAlign w:val="center"/>
            <w:shd w:fill="F3F7FA"/>
          </w:tcPr>
          <w:p>
            <w:pPr>
              <w:spacing w:after="0" w:line="240" w:lineRule="auto"/>
              <w:jc w:val="left"/>
            </w:pPr>
            <w:r>
              <w:rPr>
                <w:rFonts w:ascii="Aptos" w:hAnsi="Aptos" w:eastAsia="Aptos"/>
                <w:sz w:val="16"/>
              </w:rPr>
              <w:t>Zcash</w:t>
            </w:r>
          </w:p>
        </w:tc>
        <w:tc>
          <w:tcPr>
            <w:tcW w:type="dxa" w:w="2592"/>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w:t>
            </w:r>
          </w:p>
        </w:tc>
      </w:tr>
    </w:tbl>
    <w:p>
      <w:pPr>
        <w:spacing w:after="20"/>
      </w:pPr>
    </w:p>
    <w:p>
      <w:pPr>
        <w:pStyle w:val="Requirement"/>
      </w:pPr>
      <w:r>
        <w:rPr>
          <w:b/>
        </w:rPr>
        <w:t xml:space="preserve">VF-XCH-001: </w:t>
      </w:r>
      <w:r>
        <w:t>The supported environment set is exactly the 17 environments listed in Section 11.1.</w:t>
      </w:r>
    </w:p>
    <w:p>
      <w:pPr>
        <w:pStyle w:val="Requirement"/>
      </w:pPr>
      <w:r>
        <w:rPr>
          <w:b/>
        </w:rPr>
        <w:t xml:space="preserve">VF-XCH-002: </w:t>
      </w:r>
      <w:r>
        <w:t>No environment may be added, removed, or substituted without a later specification decision.</w:t>
      </w:r>
    </w:p>
    <w:p>
      <w:pPr>
        <w:pStyle w:val="Requirement"/>
      </w:pPr>
      <w:r>
        <w:rPr>
          <w:b/>
        </w:rPr>
        <w:t xml:space="preserve">VF-XCH-003: </w:t>
      </w:r>
      <w:r>
        <w:t>The deployment package must record the exact canonical network or chain identifier for each environment.</w:t>
      </w:r>
    </w:p>
    <w:p>
      <w:pPr>
        <w:pStyle w:val="Requirement"/>
      </w:pPr>
      <w:r>
        <w:rPr>
          <w:b/>
        </w:rPr>
        <w:t xml:space="preserve">VF-XCH-004: </w:t>
      </w:r>
      <w:r>
        <w:t>Commitment Vault principal remains on the source environment and does not bridge as part of the Commitment Vault Lock.</w:t>
      </w:r>
    </w:p>
    <w:p>
      <w:pPr>
        <w:pStyle w:val="Requirement"/>
      </w:pPr>
      <w:r>
        <w:rPr>
          <w:b/>
        </w:rPr>
        <w:t xml:space="preserve">VF-XCH-005: </w:t>
      </w:r>
      <w:r>
        <w:t>The source mechanism binds the user, principal-release destination, asset, amount, creation timestamp, and maturity.</w:t>
      </w:r>
    </w:p>
    <w:p>
      <w:pPr>
        <w:pStyle w:val="Heading2"/>
      </w:pPr>
      <w:r>
        <w:t>11.2 Source-environment finality requirement</w:t>
      </w:r>
    </w:p>
    <w:p>
      <w:pPr/>
      <w:r>
        <w:rPr>
          <w:i w:val="0"/>
        </w:rPr>
        <w:t>Each environment requires a deterministic finality condition appropriate to that environment. The specification fixes the required outcome and allows the architecture to define the concrete chain-specific method.</w:t>
      </w:r>
    </w:p>
    <w:p>
      <w:pPr>
        <w:pStyle w:val="Requirement"/>
      </w:pPr>
      <w:r>
        <w:rPr>
          <w:b/>
        </w:rPr>
        <w:t xml:space="preserve">VF-XCH-006: </w:t>
      </w:r>
      <w:r>
        <w:t>Base-chain issuance cannot occur until the source Commitment Vault Lock satisfies its documented deterministic finality condition.</w:t>
      </w:r>
    </w:p>
    <w:p>
      <w:pPr>
        <w:pStyle w:val="Requirement"/>
      </w:pPr>
      <w:r>
        <w:rPr>
          <w:b/>
        </w:rPr>
        <w:t xml:space="preserve">VF-XCH-007: </w:t>
      </w:r>
      <w:r>
        <w:t>Before implementation, the architecture must document the exact finality condition for all 17 environments.</w:t>
      </w:r>
    </w:p>
    <w:p>
      <w:pPr>
        <w:pStyle w:val="Requirement"/>
      </w:pPr>
      <w:r>
        <w:rPr>
          <w:b/>
        </w:rPr>
        <w:t xml:space="preserve">VF-XCH-008: </w:t>
      </w:r>
      <w:r>
        <w:t>A relayer or human cannot shorten or waive the applicable finality condition.</w:t>
      </w:r>
    </w:p>
    <w:p>
      <w:pPr>
        <w:pStyle w:val="Requirement"/>
      </w:pPr>
      <w:r>
        <w:rPr>
          <w:b/>
        </w:rPr>
        <w:t xml:space="preserve">VF-XCH-009: </w:t>
      </w:r>
      <w:r>
        <w:t>Confirmation and proof-delivery delays do not alter the original Valuation Timestamp, Commitment Vault Lock timestamp, maturity, selected output, recipient, or calculated issuance.</w:t>
      </w:r>
    </w:p>
    <w:p>
      <w:pPr>
        <w:pStyle w:val="Requirement"/>
      </w:pPr>
      <w:r>
        <w:rPr>
          <w:b/>
        </w:rPr>
        <w:t xml:space="preserve">VF-XCH-010: </w:t>
      </w:r>
      <w:r>
        <w:t>Tests must establish that premature, unconfirmed, and later-reversed source events cannot authorize Base issuance.</w:t>
      </w:r>
    </w:p>
    <w:p>
      <w:pPr>
        <w:pStyle w:val="Heading2"/>
      </w:pPr>
      <w:r>
        <w:t>11.3 Cross-chain proof acceptance</w:t>
      </w:r>
    </w:p>
    <w:p>
      <w:pPr/>
      <w:r>
        <w:t>The implementation may use a proof, attestation, or verified-message architecture appropriate to each environment. Regardless of transport, the evidence must establish the same normalized facts and permit no discretionary approval or alteration. Qualification and allowance enforcement may occur at the source, through required cryptographic authorization, in the proof-verification path, or through a demonstrated chain-native combination.</w:t>
      </w:r>
    </w:p>
    <w:p>
      <w:pPr>
        <w:pStyle w:val="Requirement"/>
      </w:pPr>
      <w:r>
        <w:rPr>
          <w:b/>
        </w:rPr>
        <w:t xml:space="preserve">VF-XCH-011: </w:t>
      </w:r>
      <w:r>
        <w:t>Evidence binds the source environment, unique Commitment Vault Lock identifier, canonical asset identity and precision, user, gross amount, actual fee amount and asset, fixed Dev Fund destination and fee-transfer evidence, principal, creation timestamp, maturity, selected output, authorized Base-chain recipient, release destination, applicable valuation record, immutable-facts Reward-Accounting Credit identity, objectively bound Handshake identity, applicable Handshake allowance count, and CHONX-activation receipt. For a UTXO-family mechanism the Handshake identity field contains the canonical release public key required by VF-COM-005.</w:t>
      </w:r>
    </w:p>
    <w:p>
      <w:pPr>
        <w:pStyle w:val="Requirement"/>
      </w:pPr>
      <w:r>
        <w:rPr>
          <w:b/>
        </w:rPr>
        <w:t xml:space="preserve">VF-XCH-012: </w:t>
      </w:r>
      <w:r>
        <w:t>A relayer may transport evidence but cannot change its contents, choose the output, redirect issuance, or exercise approval authority.</w:t>
      </w:r>
    </w:p>
    <w:p>
      <w:pPr>
        <w:pStyle w:val="Requirement"/>
      </w:pPr>
      <w:r>
        <w:rPr>
          <w:b/>
        </w:rPr>
        <w:t xml:space="preserve">VF-XCH-013: </w:t>
      </w:r>
      <w:r>
        <w:t>The combination of source environment and unique Commitment Vault Lock identifier may authorize Base issuance only once.</w:t>
      </w:r>
    </w:p>
    <w:p>
      <w:pPr>
        <w:pStyle w:val="Requirement"/>
      </w:pPr>
      <w:r>
        <w:rPr>
          <w:b/>
        </w:rPr>
        <w:t xml:space="preserve">VF-XCH-014: </w:t>
      </w:r>
      <w:r>
        <w:t>A failed or temporarily unverifiable proof does not consume the unique identifier; corrected evidence may be resubmitted.</w:t>
      </w:r>
    </w:p>
    <w:p>
      <w:pPr>
        <w:pStyle w:val="Requirement"/>
      </w:pPr>
      <w:r>
        <w:rPr>
          <w:b/>
        </w:rPr>
        <w:t xml:space="preserve">VF-XCH-015: </w:t>
      </w:r>
      <w:r>
        <w:t>After successful issuance, every replay or duplicate submission is rejected.</w:t>
      </w:r>
    </w:p>
    <w:p>
      <w:pPr>
        <w:pStyle w:val="Requirement"/>
      </w:pPr>
      <w:r>
        <w:rPr>
          <w:b/>
        </w:rPr>
        <w:t xml:space="preserve">VF-XCH-016: </w:t>
      </w:r>
      <w:r>
        <w:t>Proof failure prevents issuance but never prevents release of matured Commitment Vault principal.</w:t>
      </w:r>
    </w:p>
    <w:p>
      <w:pPr>
        <w:pStyle w:val="Requirement"/>
      </w:pPr>
      <w:r>
        <w:rPr>
          <w:b/>
        </w:rPr>
        <w:t xml:space="preserve">VF-XCH-017: </w:t>
      </w:r>
      <w:r>
        <w:t>The selected architecture must document its trust assumptions and demonstrate equivalent required outcomes, security, and economic performance using the selected chain-native mechanism; it need not resemble an EVM contract. It may not introduce a person with discretionary power to approve, alter, redirect, or reverse issuance.</w:t>
      </w:r>
    </w:p>
    <w:p>
      <w:pPr>
        <w:pStyle w:val="Heading2"/>
      </w:pPr>
      <w:r>
        <w:t>11.4 Axelar Interchain Token Service</w:t>
      </w:r>
    </w:p>
    <w:p>
      <w:pPr/>
      <w:r>
        <w:rPr>
          <w:i w:val="0"/>
        </w:rPr>
        <w:t>VCLM, CHONX, and SYNTH use Axelar Interchain Token Service, with Base serving as their canonical issuance and accounting blockchain. This is a binding architectural requirement rather than a prescribed low-level integration design.</w:t>
      </w:r>
    </w:p>
    <w:p>
      <w:pPr>
        <w:pStyle w:val="Requirement"/>
      </w:pPr>
      <w:r>
        <w:rPr>
          <w:b/>
        </w:rPr>
        <w:t xml:space="preserve">VF-XCH-018: </w:t>
      </w:r>
      <w:r>
        <w:t>The implementer may design the concrete Axelar ITS integration but may not replace Axelar ITS with another bridging or cross-chain token system.</w:t>
      </w:r>
    </w:p>
    <w:p>
      <w:pPr>
        <w:pStyle w:val="Requirement"/>
      </w:pPr>
      <w:r>
        <w:rPr>
          <w:b/>
        </w:rPr>
        <w:t xml:space="preserve">VF-XCH-019: </w:t>
      </w:r>
      <w:r>
        <w:t>No independent or separately issued VCLM, CHONX, or SYNTH supply may be created on another blockchain.</w:t>
      </w:r>
    </w:p>
    <w:p>
      <w:pPr>
        <w:pStyle w:val="Requirement"/>
      </w:pPr>
      <w:r>
        <w:rPr>
          <w:b/>
        </w:rPr>
        <w:t xml:space="preserve">VF-XCH-020: </w:t>
      </w:r>
      <w:r>
        <w:t>Every Axelar ITS representation remains part of the single globally reconciled supply for its protocol token.</w:t>
      </w:r>
    </w:p>
    <w:p>
      <w:pPr>
        <w:pStyle w:val="Requirement"/>
      </w:pPr>
      <w:r>
        <w:rPr>
          <w:b/>
        </w:rPr>
        <w:t xml:space="preserve">VF-XCH-021: </w:t>
      </w:r>
      <w:r>
        <w:t>Interchain transport does not constitute new protocol issuance, increase cumulative lifetime issuance, restore consumed hard-cap capacity, or create an independent destination-chain allowance.</w:t>
      </w:r>
    </w:p>
    <w:p>
      <w:pPr>
        <w:pStyle w:val="Heading1"/>
      </w:pPr>
      <w:r>
        <w:t>12. Commitment Vault Principal Safety, Maturity, and Release</w:t>
      </w:r>
    </w:p>
    <w:p>
      <w:pPr/>
      <w:r>
        <w:rPr>
          <w:i w:val="0"/>
        </w:rPr>
        <w:t>Commitment Vault principal is separate from protocol fees, protocol-token issuance, and Treasury Reward Stake. At maturity, the user who created the Commitment Vault Lock may reclaim the remaining principal from the source-chain mechanism. The release is user-initiated rather than automatically pushed to a wallet.</w:t>
      </w:r>
    </w:p>
    <w:p>
      <w:pPr>
        <w:pStyle w:val="Requirement"/>
      </w:pPr>
      <w:r>
        <w:rPr>
          <w:b/>
        </w:rPr>
        <w:t xml:space="preserve">VF-PRI-001: </w:t>
      </w:r>
      <w:r>
        <w:t>The actual fee is removed or irrevocably designated at Commitment Vault Lock creation; the remaining principal is the amount subject to maturity.</w:t>
      </w:r>
    </w:p>
    <w:p>
      <w:pPr>
        <w:pStyle w:val="Requirement"/>
      </w:pPr>
      <w:r>
        <w:rPr>
          <w:b/>
        </w:rPr>
        <w:t xml:space="preserve">VF-PRI-002: </w:t>
      </w:r>
      <w:r>
        <w:t>Commitment Vault principal may be released only once.</w:t>
      </w:r>
    </w:p>
    <w:p>
      <w:pPr>
        <w:pStyle w:val="Requirement"/>
      </w:pPr>
      <w:r>
        <w:rPr>
          <w:b/>
        </w:rPr>
        <w:t xml:space="preserve">VF-PRI-003: </w:t>
      </w:r>
      <w:r>
        <w:t>Principal may be released only to the user or release destination bound when the Commitment Vault Lock was created.</w:t>
      </w:r>
    </w:p>
    <w:p>
      <w:pPr>
        <w:pStyle w:val="Requirement"/>
      </w:pPr>
      <w:r>
        <w:rPr>
          <w:b/>
        </w:rPr>
        <w:t xml:space="preserve">VF-PRI-004: </w:t>
      </w:r>
      <w:r>
        <w:t>No price reference or oracle call is required for principal release.</w:t>
      </w:r>
    </w:p>
    <w:p>
      <w:pPr>
        <w:pStyle w:val="Requirement"/>
      </w:pPr>
      <w:r>
        <w:rPr>
          <w:b/>
        </w:rPr>
        <w:t xml:space="preserve">VF-PRI-005: </w:t>
      </w:r>
      <w:r>
        <w:t>No Base issuance, epoch calculation, Treasury Reward Stake processing, registry update, relayer, or administrator is required for principal release.</w:t>
      </w:r>
    </w:p>
    <w:p>
      <w:pPr>
        <w:pStyle w:val="Requirement"/>
      </w:pPr>
      <w:r>
        <w:rPr>
          <w:b/>
        </w:rPr>
        <w:t xml:space="preserve">VF-PRI-006: </w:t>
      </w:r>
      <w:r>
        <w:t>There is no early Commitment Vault principal release path.</w:t>
      </w:r>
    </w:p>
    <w:p>
      <w:pPr/>
      <w:r>
        <w:rPr>
          <w:i w:val="0"/>
        </w:rPr>
        <w:t>If Base verification fails permanently and no output token is issued, the source-chain Commitment Vault Lock still matures and its principal remains releasable under the same fixed maturity rule.</w:t>
      </w:r>
    </w:p>
    <w:p>
      <w:pPr>
        <w:pStyle w:val="Heading1"/>
      </w:pPr>
      <w:r>
        <w:t>13. Supply Accounting and Activation Gates</w:t>
      </w:r>
    </w:p>
    <w:p>
      <w:pPr>
        <w:pStyle w:val="Heading2"/>
      </w:pPr>
      <w:r>
        <w:t>13.1 Cumulative lifetime issuance</w:t>
      </w:r>
    </w:p>
    <w:p>
      <w:pPr>
        <w:spacing w:before="80" w:after="140"/>
        <w:jc w:val="center"/>
      </w:pPr>
      <w:r>
        <w:rPr>
          <w:b/>
          <w:color w:val="18324B"/>
        </w:rPr>
        <w:t>Remaining lifetime capacity = hard cap - cumulative lifetime protocol issuance</w:t>
      </w:r>
    </w:p>
    <w:p>
      <w:pPr>
        <w:pStyle w:val="Requirement"/>
      </w:pPr>
      <w:r>
        <w:rPr>
          <w:b/>
        </w:rPr>
        <w:t xml:space="preserve">VF-SUP-001: </w:t>
      </w:r>
      <w:r>
        <w:t>Every authorized issuance path reconciles against the applicable global lifetime hard cap.</w:t>
      </w:r>
    </w:p>
    <w:p>
      <w:pPr>
        <w:pStyle w:val="Requirement"/>
      </w:pPr>
      <w:r>
        <w:rPr>
          <w:b/>
        </w:rPr>
        <w:t xml:space="preserve">VF-SUP-002: </w:t>
      </w:r>
      <w:r>
        <w:t>Commitment Vault issuance and Treasury Reward Stake rewards draw from the same VCLM lifetime hard cap.</w:t>
      </w:r>
    </w:p>
    <w:p>
      <w:pPr>
        <w:pStyle w:val="Requirement"/>
      </w:pPr>
      <w:r>
        <w:rPr>
          <w:b/>
        </w:rPr>
        <w:t xml:space="preserve">VF-SUP-003: </w:t>
      </w:r>
      <w:r>
        <w:t>Burning a protocol token reduces circulating supply but does not reduce cumulative lifetime issuance or restore issuance capacity.</w:t>
      </w:r>
    </w:p>
    <w:p>
      <w:pPr>
        <w:pStyle w:val="Requirement"/>
      </w:pPr>
      <w:r>
        <w:rPr>
          <w:b/>
        </w:rPr>
        <w:t xml:space="preserve">VF-SUP-004: </w:t>
      </w:r>
      <w:r>
        <w:t>Activation thresholds use cumulative lifetime issuance rather than circulating supply, wallet balances, burned supply, elapsed time, or governance action.</w:t>
      </w:r>
    </w:p>
    <w:p>
      <w:pPr>
        <w:pStyle w:val="Heading2"/>
      </w:pPr>
      <w:r>
        <w:t>13.2 Full-rejection cap behavior</w:t>
      </w:r>
    </w:p>
    <w:p>
      <w:pPr>
        <w:pStyle w:val="Requirement"/>
      </w:pPr>
      <w:r>
        <w:rPr>
          <w:b/>
        </w:rPr>
        <w:t xml:space="preserve">VF-SUP-005: </w:t>
      </w:r>
      <w:r>
        <w:t>A Commitment Vault issuance whose complete calculated output exceeds remaining lifetime capacity is rejected in full.</w:t>
      </w:r>
    </w:p>
    <w:p>
      <w:pPr>
        <w:pStyle w:val="Requirement"/>
      </w:pPr>
      <w:r>
        <w:rPr>
          <w:b/>
        </w:rPr>
        <w:t xml:space="preserve">VF-SUP-006: </w:t>
      </w:r>
      <w:r>
        <w:t>Partial Commitment Vault issuance is prohibited; no substitute token, recipient, or reduced output is permitted.</w:t>
      </w:r>
    </w:p>
    <w:p>
      <w:pPr>
        <w:pStyle w:val="Requirement"/>
      </w:pPr>
      <w:r>
        <w:rPr>
          <w:b/>
        </w:rPr>
        <w:t xml:space="preserve">VF-SUP-007: </w:t>
      </w:r>
      <w:r>
        <w:t>A rejected issuance attempt reserves no capacity and does not consume the source Commitment Vault Lock identifier.</w:t>
      </w:r>
    </w:p>
    <w:p>
      <w:pPr>
        <w:pStyle w:val="Requirement"/>
      </w:pPr>
      <w:r>
        <w:rPr>
          <w:b/>
        </w:rPr>
        <w:t xml:space="preserve">VF-SUP-008: </w:t>
      </w:r>
      <w:r>
        <w:t>A permanently impossible Base issuance produces no fee refund or administrative reversal; Commitment Vault principal remains releasable at maturity.</w:t>
      </w:r>
    </w:p>
    <w:p>
      <w:pPr>
        <w:pStyle w:val="Heading2"/>
      </w:pPr>
      <w:r>
        <w:t>13.3 Epoch rewards at the VCLM cap</w:t>
      </w:r>
    </w:p>
    <w:p>
      <w:pPr>
        <w:pStyle w:val="Requirement"/>
      </w:pPr>
      <w:r>
        <w:rPr>
          <w:b/>
        </w:rPr>
        <w:t xml:space="preserve">VF-SUP-009: </w:t>
      </w:r>
      <w:r>
        <w:t>If a complete Epoch Reward VCLM amount does not fit within remaining VCLM lifetime capacity, that epoch mints zero VCLM, closes, and marks its Reward-Accounting Credits used.</w:t>
      </w:r>
    </w:p>
    <w:p>
      <w:pPr>
        <w:pStyle w:val="Requirement"/>
      </w:pPr>
      <w:r>
        <w:rPr>
          <w:b/>
        </w:rPr>
        <w:t xml:space="preserve">VF-SUP-010: </w:t>
      </w:r>
      <w:r>
        <w:t>A later smaller complete epoch reward may be issued if it fits the unchanged remaining capacity.</w:t>
      </w:r>
    </w:p>
    <w:p>
      <w:pPr>
        <w:pStyle w:val="Requirement"/>
      </w:pPr>
      <w:r>
        <w:rPr>
          <w:b/>
        </w:rPr>
        <w:t xml:space="preserve">VF-SUP-011: </w:t>
      </w:r>
      <w:r>
        <w:t>At zero remaining VCLM lifetime capacity, Treasury Reward Stake permanently enters the terminal state defined by Section 10.6.</w:t>
      </w:r>
    </w:p>
    <w:p>
      <w:pPr>
        <w:pStyle w:val="Requirement"/>
      </w:pPr>
      <w:r>
        <w:rPr>
          <w:b/>
        </w:rPr>
        <w:t xml:space="preserve">VF-SUP-012: </w:t>
      </w:r>
      <w:r>
        <w:t>At that terminal state, qualifying Commitment Vault fees may still reach the Dev Fund for an otherwise valid CHONX output, but they create no Reward-Accounting Credit.</w:t>
      </w:r>
    </w:p>
    <w:p>
      <w:pPr>
        <w:pStyle w:val="Heading2"/>
      </w:pPr>
      <w:r>
        <w:t>13.4 Axelar ITS supply reconciliation</w:t>
      </w:r>
    </w:p>
    <w:p>
      <w:pPr/>
      <w:r>
        <w:rPr>
          <w:i w:val="0"/>
        </w:rPr>
        <w:t>Axelar ITS transport may use technical mint-and-burn mechanics as part of interchain movement. Such transport is not economic issuance under this specification. The implementation must preserve one globally reconciled token system without granting new protocol issuance capacity.</w:t>
      </w:r>
    </w:p>
    <w:p>
      <w:pPr>
        <w:pStyle w:val="Requirement"/>
      </w:pPr>
      <w:r>
        <w:rPr>
          <w:b/>
        </w:rPr>
        <w:t xml:space="preserve">VF-SUP-013: </w:t>
      </w:r>
      <w:r>
        <w:t>Only protocol-authorized issuance originating from the Base protocol increases cumulative lifetime protocol issuance.</w:t>
      </w:r>
    </w:p>
    <w:p>
      <w:pPr>
        <w:pStyle w:val="Requirement"/>
      </w:pPr>
      <w:r>
        <w:rPr>
          <w:b/>
        </w:rPr>
        <w:t xml:space="preserve">VF-SUP-014: </w:t>
      </w:r>
      <w:r>
        <w:t>Axelar ITS transport cannot be counted as a new Commitment Vault, Treasury Reward Stake, or Forge issuance event.</w:t>
      </w:r>
    </w:p>
    <w:p>
      <w:pPr>
        <w:pStyle w:val="Requirement"/>
      </w:pPr>
      <w:r>
        <w:rPr>
          <w:b/>
        </w:rPr>
        <w:t xml:space="preserve">VF-SUP-015: </w:t>
      </w:r>
      <w:r>
        <w:t>Preflight checks do not reserve lifetime capacity or guarantee later Base issuance; the source application must communicate that consequence before the user completes a Commitment Vault Lock.</w:t>
      </w:r>
    </w:p>
    <w:p>
      <w:pPr>
        <w:pStyle w:val="Heading1"/>
      </w:pPr>
      <w:r>
        <w:t>14. Security Invariants and Fail-Closed Behavior</w:t>
      </w:r>
    </w:p>
    <w:tbl>
      <w:tblPr>
        <w:tblStyle w:val="TableGrid"/>
        <w:tblW w:type="dxa" w:w="9648"/>
        <w:jc w:val="left"/>
        <w:tblLayout w:type="fixed"/>
        <w:tblLook w:firstColumn="1" w:firstRow="1" w:lastColumn="0" w:lastRow="0" w:noHBand="0" w:noVBand="1" w:val="04A0"/>
        <w:tblInd w:w="120" w:type="dxa"/>
      </w:tblPr>
      <w:tblGrid>
        <w:gridCol w:w="3240"/>
        <w:gridCol w:w="6408"/>
      </w:tblGrid>
      <w:tr>
        <w:trPr>
          <w:tblHeader w:val="true"/>
          <w:cantSplit/>
        </w:trPr>
        <w:tc>
          <w:tcPr>
            <w:tcW w:type="dxa" w:w="3240"/>
            <w:shd w:fill="18324B"/>
            <w:tcMar>
              <w:top w:w="72" w:type="dxa"/>
              <w:start w:w="90" w:type="dxa"/>
              <w:bottom w:w="72" w:type="dxa"/>
              <w:end w:w="90" w:type="dxa"/>
            </w:tcMar>
            <w:vAlign w:val="center"/>
          </w:tcPr>
          <w:p>
            <w:pPr>
              <w:spacing w:after="0"/>
              <w:jc w:val="left"/>
            </w:pPr>
            <w:r>
              <w:rPr>
                <w:rFonts w:ascii="Aptos" w:hAnsi="Aptos" w:eastAsia="Aptos"/>
                <w:b/>
                <w:color w:val="FFFFFF"/>
                <w:sz w:val="15"/>
              </w:rPr>
              <w:t>Risk or dependency</w:t>
            </w:r>
          </w:p>
        </w:tc>
        <w:tc>
          <w:tcPr>
            <w:tcW w:type="dxa" w:w="6408"/>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behavior</w:t>
            </w:r>
          </w:p>
        </w:tc>
      </w:tr>
      <w:tr>
        <w:trPr>
          <w:cantSplit/>
        </w:trPr>
        <w:tc>
          <w:tcPr>
            <w:tcW w:type="dxa" w:w="3240"/>
            <w:tcMar>
              <w:top w:w="72" w:type="dxa"/>
              <w:start w:w="90" w:type="dxa"/>
              <w:bottom w:w="72" w:type="dxa"/>
              <w:end w:w="90" w:type="dxa"/>
            </w:tcMar>
            <w:vAlign w:val="center"/>
          </w:tcPr>
          <w:p>
            <w:pPr>
              <w:spacing w:after="0" w:line="240" w:lineRule="auto"/>
              <w:jc w:val="left"/>
            </w:pPr>
            <w:r>
              <w:rPr>
                <w:rFonts w:ascii="Aptos" w:hAnsi="Aptos" w:eastAsia="Aptos"/>
                <w:sz w:val="15"/>
              </w:rPr>
              <w:t>No valid scheduled price reference</w:t>
            </w:r>
          </w:p>
        </w:tc>
        <w:tc>
          <w:tcPr>
            <w:tcW w:type="dxa" w:w="6408"/>
            <w:tcMar>
              <w:top w:w="72" w:type="dxa"/>
              <w:start w:w="90" w:type="dxa"/>
              <w:bottom w:w="72" w:type="dxa"/>
              <w:end w:w="90" w:type="dxa"/>
            </w:tcMar>
            <w:vAlign w:val="center"/>
          </w:tcPr>
          <w:p>
            <w:pPr>
              <w:spacing w:after="0" w:line="240" w:lineRule="auto"/>
              <w:jc w:val="left"/>
            </w:pPr>
            <w:r>
              <w:rPr>
                <w:rFonts w:ascii="Aptos" w:hAnsi="Aptos" w:eastAsia="Aptos"/>
                <w:sz w:val="15"/>
              </w:rPr>
              <w:t>Reject the Commitment Vault Lock before assets move</w:t>
            </w:r>
          </w:p>
        </w:tc>
      </w:tr>
      <w:tr>
        <w:trPr>
          <w:cantSplit/>
        </w:trPr>
        <w:tc>
          <w:tcPr>
            <w:tcW w:type="dxa" w:w="3240"/>
            <w:tcMar>
              <w:top w:w="72" w:type="dxa"/>
              <w:start w:w="90" w:type="dxa"/>
              <w:bottom w:w="72" w:type="dxa"/>
              <w:end w:w="90" w:type="dxa"/>
            </w:tcMar>
            <w:vAlign w:val="center"/>
            <w:shd w:fill="F3F7FA"/>
          </w:tcPr>
          <w:p>
            <w:pPr>
              <w:spacing w:after="0" w:line="240" w:lineRule="auto"/>
              <w:jc w:val="left"/>
            </w:pPr>
            <w:r>
              <w:rPr>
                <w:rFonts w:ascii="Aptos" w:hAnsi="Aptos" w:eastAsia="Aptos"/>
                <w:sz w:val="15"/>
              </w:rPr>
              <w:t>Unrecognized asset identity</w:t>
            </w:r>
          </w:p>
        </w:tc>
        <w:tc>
          <w:tcPr>
            <w:tcW w:type="dxa" w:w="6408"/>
            <w:tcMar>
              <w:top w:w="72" w:type="dxa"/>
              <w:start w:w="90" w:type="dxa"/>
              <w:bottom w:w="72" w:type="dxa"/>
              <w:end w:w="90" w:type="dxa"/>
            </w:tcMar>
            <w:vAlign w:val="center"/>
            <w:shd w:fill="F3F7FA"/>
          </w:tcPr>
          <w:p>
            <w:pPr>
              <w:spacing w:after="0" w:line="240" w:lineRule="auto"/>
              <w:jc w:val="left"/>
            </w:pPr>
            <w:r>
              <w:rPr>
                <w:rFonts w:ascii="Aptos" w:hAnsi="Aptos" w:eastAsia="Aptos"/>
                <w:sz w:val="15"/>
              </w:rPr>
              <w:t>Reject the Commitment Vault Lock</w:t>
            </w:r>
          </w:p>
        </w:tc>
      </w:tr>
      <w:tr>
        <w:trPr>
          <w:cantSplit/>
        </w:trPr>
        <w:tc>
          <w:tcPr>
            <w:tcW w:type="dxa" w:w="3240"/>
            <w:tcMar>
              <w:top w:w="72" w:type="dxa"/>
              <w:start w:w="90" w:type="dxa"/>
              <w:bottom w:w="72" w:type="dxa"/>
              <w:end w:w="90" w:type="dxa"/>
            </w:tcMar>
            <w:vAlign w:val="center"/>
          </w:tcPr>
          <w:p>
            <w:pPr>
              <w:spacing w:after="0" w:line="240" w:lineRule="auto"/>
              <w:jc w:val="left"/>
            </w:pPr>
            <w:r>
              <w:rPr>
                <w:rFonts w:ascii="Aptos" w:hAnsi="Aptos" w:eastAsia="Aptos"/>
                <w:sz w:val="15"/>
              </w:rPr>
              <w:t>Unconfirmed source event</w:t>
            </w:r>
          </w:p>
        </w:tc>
        <w:tc>
          <w:tcPr>
            <w:tcW w:type="dxa" w:w="6408"/>
            <w:tcMar>
              <w:top w:w="72" w:type="dxa"/>
              <w:start w:w="90" w:type="dxa"/>
              <w:bottom w:w="72" w:type="dxa"/>
              <w:end w:w="90" w:type="dxa"/>
            </w:tcMar>
            <w:vAlign w:val="center"/>
          </w:tcPr>
          <w:p>
            <w:pPr>
              <w:spacing w:after="0" w:line="240" w:lineRule="auto"/>
              <w:jc w:val="left"/>
            </w:pPr>
            <w:r>
              <w:rPr>
                <w:rFonts w:ascii="Aptos" w:hAnsi="Aptos" w:eastAsia="Aptos"/>
                <w:sz w:val="15"/>
              </w:rPr>
              <w:t>Reject Base issuance</w:t>
            </w:r>
          </w:p>
        </w:tc>
      </w:tr>
      <w:tr>
        <w:trPr>
          <w:cantSplit/>
        </w:trPr>
        <w:tc>
          <w:tcPr>
            <w:tcW w:type="dxa" w:w="3240"/>
            <w:tcMar>
              <w:top w:w="72" w:type="dxa"/>
              <w:start w:w="90" w:type="dxa"/>
              <w:bottom w:w="72" w:type="dxa"/>
              <w:end w:w="90" w:type="dxa"/>
            </w:tcMar>
            <w:vAlign w:val="center"/>
            <w:shd w:fill="F3F7FA"/>
          </w:tcPr>
          <w:p>
            <w:pPr>
              <w:spacing w:after="0" w:line="240" w:lineRule="auto"/>
              <w:jc w:val="left"/>
            </w:pPr>
            <w:r>
              <w:rPr>
                <w:rFonts w:ascii="Aptos" w:hAnsi="Aptos" w:eastAsia="Aptos"/>
                <w:sz w:val="15"/>
              </w:rPr>
              <w:t>Replay or duplicate proof</w:t>
            </w:r>
          </w:p>
        </w:tc>
        <w:tc>
          <w:tcPr>
            <w:tcW w:type="dxa" w:w="6408"/>
            <w:tcMar>
              <w:top w:w="72" w:type="dxa"/>
              <w:start w:w="90" w:type="dxa"/>
              <w:bottom w:w="72" w:type="dxa"/>
              <w:end w:w="90" w:type="dxa"/>
            </w:tcMar>
            <w:vAlign w:val="center"/>
            <w:shd w:fill="F3F7FA"/>
          </w:tcPr>
          <w:p>
            <w:pPr>
              <w:spacing w:after="0" w:line="240" w:lineRule="auto"/>
              <w:jc w:val="left"/>
            </w:pPr>
            <w:r>
              <w:rPr>
                <w:rFonts w:ascii="Aptos" w:hAnsi="Aptos" w:eastAsia="Aptos"/>
                <w:sz w:val="15"/>
              </w:rPr>
              <w:t>Reject Base issuance</w:t>
            </w:r>
          </w:p>
        </w:tc>
      </w:tr>
      <w:tr>
        <w:trPr>
          <w:cantSplit/>
        </w:trPr>
        <w:tc>
          <w:tcPr>
            <w:tcW w:type="dxa" w:w="3240"/>
            <w:tcMar>
              <w:top w:w="72" w:type="dxa"/>
              <w:start w:w="90" w:type="dxa"/>
              <w:bottom w:w="72" w:type="dxa"/>
              <w:end w:w="90" w:type="dxa"/>
            </w:tcMar>
            <w:vAlign w:val="center"/>
          </w:tcPr>
          <w:p>
            <w:pPr>
              <w:spacing w:after="0" w:line="240" w:lineRule="auto"/>
              <w:jc w:val="left"/>
            </w:pPr>
            <w:r>
              <w:rPr>
                <w:rFonts w:ascii="Aptos" w:hAnsi="Aptos" w:eastAsia="Aptos"/>
                <w:sz w:val="15"/>
              </w:rPr>
              <w:t>Incorrect output or recipient binding</w:t>
            </w:r>
          </w:p>
        </w:tc>
        <w:tc>
          <w:tcPr>
            <w:tcW w:type="dxa" w:w="6408"/>
            <w:tcMar>
              <w:top w:w="72" w:type="dxa"/>
              <w:start w:w="90" w:type="dxa"/>
              <w:bottom w:w="72" w:type="dxa"/>
              <w:end w:w="90" w:type="dxa"/>
            </w:tcMar>
            <w:vAlign w:val="center"/>
          </w:tcPr>
          <w:p>
            <w:pPr>
              <w:spacing w:after="0" w:line="240" w:lineRule="auto"/>
              <w:jc w:val="left"/>
            </w:pPr>
            <w:r>
              <w:rPr>
                <w:rFonts w:ascii="Aptos" w:hAnsi="Aptos" w:eastAsia="Aptos"/>
                <w:sz w:val="15"/>
              </w:rPr>
              <w:t>Reject Base issuance</w:t>
            </w:r>
          </w:p>
        </w:tc>
      </w:tr>
      <w:tr>
        <w:trPr>
          <w:cantSplit/>
        </w:trPr>
        <w:tc>
          <w:tcPr>
            <w:tcW w:type="dxa" w:w="3240"/>
            <w:tcMar>
              <w:top w:w="72" w:type="dxa"/>
              <w:start w:w="90" w:type="dxa"/>
              <w:bottom w:w="72" w:type="dxa"/>
              <w:end w:w="90" w:type="dxa"/>
            </w:tcMar>
            <w:vAlign w:val="center"/>
            <w:shd w:fill="F3F7FA"/>
          </w:tcPr>
          <w:p>
            <w:pPr>
              <w:spacing w:after="0" w:line="240" w:lineRule="auto"/>
              <w:jc w:val="left"/>
            </w:pPr>
            <w:r>
              <w:rPr>
                <w:rFonts w:ascii="Aptos" w:hAnsi="Aptos" w:eastAsia="Aptos"/>
                <w:sz w:val="15"/>
              </w:rPr>
              <w:t>Lifetime hard-cap breach</w:t>
            </w:r>
          </w:p>
        </w:tc>
        <w:tc>
          <w:tcPr>
            <w:tcW w:type="dxa" w:w="6408"/>
            <w:tcMar>
              <w:top w:w="72" w:type="dxa"/>
              <w:start w:w="90" w:type="dxa"/>
              <w:bottom w:w="72" w:type="dxa"/>
              <w:end w:w="90" w:type="dxa"/>
            </w:tcMar>
            <w:vAlign w:val="center"/>
            <w:shd w:fill="F3F7FA"/>
          </w:tcPr>
          <w:p>
            <w:pPr>
              <w:spacing w:after="0" w:line="240" w:lineRule="auto"/>
              <w:jc w:val="left"/>
            </w:pPr>
            <w:r>
              <w:rPr>
                <w:rFonts w:ascii="Aptos" w:hAnsi="Aptos" w:eastAsia="Aptos"/>
                <w:sz w:val="15"/>
              </w:rPr>
              <w:t>Reject the complete issuance</w:t>
            </w:r>
          </w:p>
        </w:tc>
      </w:tr>
      <w:tr>
        <w:trPr>
          <w:cantSplit/>
        </w:trPr>
        <w:tc>
          <w:tcPr>
            <w:tcW w:type="dxa" w:w="3240"/>
            <w:tcMar>
              <w:top w:w="72" w:type="dxa"/>
              <w:start w:w="90" w:type="dxa"/>
              <w:bottom w:w="72" w:type="dxa"/>
              <w:end w:w="90" w:type="dxa"/>
            </w:tcMar>
            <w:vAlign w:val="center"/>
          </w:tcPr>
          <w:p>
            <w:pPr>
              <w:spacing w:after="0" w:line="240" w:lineRule="auto"/>
              <w:jc w:val="left"/>
            </w:pPr>
            <w:r>
              <w:rPr>
                <w:rFonts w:ascii="Aptos" w:hAnsi="Aptos" w:eastAsia="Aptos"/>
                <w:sz w:val="15"/>
              </w:rPr>
              <w:t>Fee-routing evidence failure</w:t>
            </w:r>
          </w:p>
        </w:tc>
        <w:tc>
          <w:tcPr>
            <w:tcW w:type="dxa" w:w="6408"/>
            <w:tcMar>
              <w:top w:w="72" w:type="dxa"/>
              <w:start w:w="90" w:type="dxa"/>
              <w:bottom w:w="72" w:type="dxa"/>
              <w:end w:w="90" w:type="dxa"/>
            </w:tcMar>
            <w:vAlign w:val="center"/>
          </w:tcPr>
          <w:p>
            <w:pPr>
              <w:spacing w:after="0" w:line="240" w:lineRule="auto"/>
              <w:jc w:val="left"/>
            </w:pPr>
            <w:r>
              <w:rPr>
                <w:rFonts w:ascii="Aptos" w:hAnsi="Aptos" w:eastAsia="Aptos"/>
                <w:sz w:val="15"/>
              </w:rPr>
              <w:t>Do not issue a protocol token or record Reward-Accounting Credit; do not affect matured principal release</w:t>
            </w:r>
          </w:p>
        </w:tc>
      </w:tr>
      <w:tr>
        <w:trPr>
          <w:cantSplit/>
        </w:trPr>
        <w:tc>
          <w:tcPr>
            <w:tcW w:type="dxa" w:w="3240"/>
            <w:tcMar>
              <w:top w:w="72" w:type="dxa"/>
              <w:start w:w="90" w:type="dxa"/>
              <w:bottom w:w="72" w:type="dxa"/>
              <w:end w:w="90" w:type="dxa"/>
            </w:tcMar>
            <w:vAlign w:val="center"/>
            <w:shd w:fill="F3F7FA"/>
          </w:tcPr>
          <w:p>
            <w:pPr>
              <w:spacing w:after="0" w:line="240" w:lineRule="auto"/>
              <w:jc w:val="left"/>
            </w:pPr>
            <w:r>
              <w:rPr>
                <w:rFonts w:ascii="Aptos" w:hAnsi="Aptos" w:eastAsia="Aptos"/>
                <w:sz w:val="15"/>
              </w:rPr>
              <w:t>Epoch processing failure</w:t>
            </w:r>
          </w:p>
        </w:tc>
        <w:tc>
          <w:tcPr>
            <w:tcW w:type="dxa" w:w="6408"/>
            <w:tcMar>
              <w:top w:w="72" w:type="dxa"/>
              <w:start w:w="90" w:type="dxa"/>
              <w:bottom w:w="72" w:type="dxa"/>
              <w:end w:w="90" w:type="dxa"/>
            </w:tcMar>
            <w:vAlign w:val="center"/>
            <w:shd w:fill="F3F7FA"/>
          </w:tcPr>
          <w:p>
            <w:pPr>
              <w:spacing w:after="0" w:line="240" w:lineRule="auto"/>
              <w:jc w:val="left"/>
            </w:pPr>
            <w:r>
              <w:rPr>
                <w:rFonts w:ascii="Aptos" w:hAnsi="Aptos" w:eastAsia="Aptos"/>
                <w:sz w:val="15"/>
              </w:rPr>
              <w:t>Do not affect Commitment Vault principal release</w:t>
            </w:r>
          </w:p>
        </w:tc>
      </w:tr>
      <w:tr>
        <w:trPr>
          <w:cantSplit/>
        </w:trPr>
        <w:tc>
          <w:tcPr>
            <w:tcW w:type="dxa" w:w="3240"/>
            <w:tcMar>
              <w:top w:w="72" w:type="dxa"/>
              <w:start w:w="90" w:type="dxa"/>
              <w:bottom w:w="72" w:type="dxa"/>
              <w:end w:w="90" w:type="dxa"/>
            </w:tcMar>
            <w:vAlign w:val="center"/>
          </w:tcPr>
          <w:p>
            <w:pPr>
              <w:spacing w:after="0" w:line="240" w:lineRule="auto"/>
              <w:jc w:val="left"/>
            </w:pPr>
            <w:r>
              <w:rPr>
                <w:rFonts w:ascii="Aptos" w:hAnsi="Aptos" w:eastAsia="Aptos"/>
                <w:sz w:val="15"/>
              </w:rPr>
              <w:t>Cross-chain message failure</w:t>
            </w:r>
          </w:p>
        </w:tc>
        <w:tc>
          <w:tcPr>
            <w:tcW w:type="dxa" w:w="6408"/>
            <w:tcMar>
              <w:top w:w="72" w:type="dxa"/>
              <w:start w:w="90" w:type="dxa"/>
              <w:bottom w:w="72" w:type="dxa"/>
              <w:end w:w="90" w:type="dxa"/>
            </w:tcMar>
            <w:vAlign w:val="center"/>
          </w:tcPr>
          <w:p>
            <w:pPr>
              <w:spacing w:after="0" w:line="240" w:lineRule="auto"/>
              <w:jc w:val="left"/>
            </w:pPr>
            <w:r>
              <w:rPr>
                <w:rFonts w:ascii="Aptos" w:hAnsi="Aptos" w:eastAsia="Aptos"/>
                <w:sz w:val="15"/>
              </w:rPr>
              <w:t>Do not affect source-chain maturity or principal release</w:t>
            </w:r>
          </w:p>
        </w:tc>
      </w:tr>
    </w:tbl>
    <w:p>
      <w:pPr>
        <w:spacing w:after="20"/>
      </w:pPr>
    </w:p>
    <w:p>
      <w:pPr>
        <w:pStyle w:val="Requirement"/>
      </w:pPr>
      <w:r>
        <w:rPr>
          <w:b/>
        </w:rPr>
        <w:t xml:space="preserve">VF-SEC-001: </w:t>
      </w:r>
      <w:r>
        <w:t>An approved asset with fee-on-transfer, rebasing, callback, malformed, or otherwise incompatible behavior must be rejected unless its approved source-environment architecture explicitly handles that behavior without violating this specification.</w:t>
      </w:r>
    </w:p>
    <w:p>
      <w:pPr>
        <w:pStyle w:val="Requirement"/>
      </w:pPr>
      <w:r>
        <w:rPr>
          <w:b/>
        </w:rPr>
        <w:t xml:space="preserve">VF-SEC-002: </w:t>
      </w:r>
      <w:r>
        <w:t>External calls and state transitions must prevent reentrancy, duplicate issuance, and partial-accounting states.</w:t>
      </w:r>
    </w:p>
    <w:p>
      <w:pPr>
        <w:pStyle w:val="Requirement"/>
      </w:pPr>
      <w:r>
        <w:rPr>
          <w:b/>
        </w:rPr>
        <w:t xml:space="preserve">VF-SEC-003: </w:t>
      </w:r>
      <w:r>
        <w:t>No failure path may substitute a default asset, price, environment, user, recipient, output, duration, multiplier, or Dev Fund destination.</w:t>
      </w:r>
    </w:p>
    <w:p>
      <w:pPr>
        <w:pStyle w:val="Requirement"/>
      </w:pPr>
      <w:r>
        <w:rPr>
          <w:b/>
        </w:rPr>
        <w:t xml:space="preserve">VF-SEC-004: </w:t>
      </w:r>
      <w:r>
        <w:t>The source Commitment Vault Lock identifier is consumed only after successful Base issuance.</w:t>
      </w:r>
    </w:p>
    <w:p>
      <w:pPr>
        <w:pStyle w:val="Requirement"/>
      </w:pPr>
      <w:r>
        <w:rPr>
          <w:b/>
        </w:rPr>
        <w:t xml:space="preserve">VF-SEC-005: </w:t>
      </w:r>
      <w:r>
        <w:t>A relayer or price-batch submitter obtains no authority to change protocol parameters or redirect user or Dev Fund value.</w:t>
      </w:r>
    </w:p>
    <w:p>
      <w:pPr>
        <w:pStyle w:val="Requirement"/>
      </w:pPr>
      <w:r>
        <w:rPr>
          <w:b/>
        </w:rPr>
        <w:t xml:space="preserve">VF-SEC-006: </w:t>
      </w:r>
      <w:r>
        <w:t>Principal release remains independent of every Base-chain and external dependency.</w:t>
      </w:r>
    </w:p>
    <w:p>
      <w:pPr>
        <w:pStyle w:val="Heading1"/>
      </w:pPr>
      <w:r>
        <w:t>15. Deployment, Immutability, and Configuration Finalization</w:t>
      </w:r>
    </w:p>
    <w:p>
      <w:pPr/>
      <w:r>
        <w:rPr>
          <w:i w:val="0"/>
        </w:rPr>
        <w:t>The specification defines binding behavior and architectural constraints. The implementer may design concrete integration and deployment methods only within those constraints. Prototype construction is not deployment authorization.</w:t>
      </w:r>
    </w:p>
    <w:p>
      <w:pPr>
        <w:pStyle w:val="Requirement"/>
      </w:pPr>
      <w:r>
        <w:rPr>
          <w:b/>
        </w:rPr>
        <w:t xml:space="preserve">VF-DEP-001: </w:t>
      </w:r>
      <w:r>
        <w:t>The implementation remains inactive until every required registry entry, blockchain identifier, Dev Fund destination, Axelar ITS dependency, proof-verification dependency, and fixed protocol parameter has been populated and validated.</w:t>
      </w:r>
    </w:p>
    <w:p>
      <w:pPr>
        <w:pStyle w:val="Requirement"/>
      </w:pPr>
      <w:r>
        <w:rPr>
          <w:b/>
        </w:rPr>
        <w:t xml:space="preserve">VF-DEP-002: </w:t>
      </w:r>
      <w:r>
        <w:t>An incomplete, missing, provisional, guessed, zero, or inconsistent configuration cannot be permanently finalized.</w:t>
      </w:r>
    </w:p>
    <w:p>
      <w:pPr>
        <w:pStyle w:val="Requirement"/>
      </w:pPr>
      <w:r>
        <w:rPr>
          <w:b/>
        </w:rPr>
        <w:t xml:space="preserve">VF-DEP-003: </w:t>
      </w:r>
      <w:r>
        <w:t>After successful finalization, configuration changes, upgrades, administrator intervention, and replacement dependencies are impossible.</w:t>
      </w:r>
    </w:p>
    <w:p>
      <w:pPr>
        <w:pStyle w:val="Requirement"/>
      </w:pPr>
      <w:r>
        <w:rPr>
          <w:b/>
        </w:rPr>
        <w:t xml:space="preserve">VF-DEP-004: </w:t>
      </w:r>
      <w:r>
        <w:t>The implementer may select the concrete initialization procedure but must provide verifiable evidence that the deployed configuration matches this specification.</w:t>
      </w:r>
    </w:p>
    <w:p>
      <w:pPr>
        <w:pStyle w:val="Requirement"/>
      </w:pPr>
      <w:r>
        <w:rPr>
          <w:b/>
        </w:rPr>
        <w:t xml:space="preserve">VF-DEP-005: </w:t>
      </w:r>
      <w:r>
        <w:t>The deployment package records contract addresses, environment identifiers, configuration values, source hashes, compiler settings, dependency lockfiles, and deployed bytecode hashes, and preserves a copy of the exact machine-readable registry artifact used for deployment. Registry conformity is evaluated under VF-REG-011.</w:t>
      </w:r>
    </w:p>
    <w:p>
      <w:pPr>
        <w:pStyle w:val="Requirement"/>
      </w:pPr>
      <w:r>
        <w:rPr>
          <w:b/>
        </w:rPr>
        <w:t xml:space="preserve">VF-DEP-006: </w:t>
      </w:r>
      <w:r>
        <w:t>Any temporary deployment authority must be demonstrably and irreversibly terminated before finalization.</w:t>
      </w:r>
    </w:p>
    <w:p>
      <w:pPr>
        <w:pStyle w:val="Requirement"/>
      </w:pPr>
      <w:r>
        <w:rPr>
          <w:b/>
        </w:rPr>
        <w:t xml:space="preserve">VF-DEP-007: </w:t>
      </w:r>
      <w:r>
        <w:t>The absence of proxy upgrade paths, pause paths, rescue paths, and discretionary value routes must be independently verifiable.</w:t>
      </w:r>
    </w:p>
    <w:p>
      <w:pPr>
        <w:pStyle w:val="Requirement"/>
      </w:pPr>
      <w:r>
        <w:rPr>
          <w:b/>
        </w:rPr>
        <w:t xml:space="preserve">VF-DEP-008: </w:t>
      </w:r>
      <w:r>
        <w:t>Prototype development does not require final external addresses and does not authorize broadcasting a deployment.</w:t>
      </w:r>
    </w:p>
    <w:p>
      <w:pPr>
        <w:pStyle w:val="Heading2"/>
      </w:pPr>
      <w:r>
        <w:t>15.1 Required finalization evidence</w:t>
      </w:r>
    </w:p>
    <w:p>
      <w:pPr>
        <w:pStyle w:val="ListNumber"/>
        <w:numPr>
          <w:ilvl w:val="0"/>
          <w:numId w:val="17"/>
        </w:numPr>
      </w:pPr>
      <w:r>
        <w:rPr>
          <w:i w:val="0"/>
        </w:rPr>
        <w:t>Freeze the current Master Specification and source commit.</w:t>
      </w:r>
    </w:p>
    <w:p>
      <w:pPr>
        <w:pStyle w:val="ListNumber"/>
        <w:numPr>
          <w:ilvl w:val="0"/>
          <w:numId w:val="17"/>
        </w:numPr>
      </w:pPr>
      <w:r>
        <w:rPr>
          <w:i w:val="0"/>
        </w:rPr>
        <w:t>Freeze the complete 1,001-entry registry and its S1/S2/S3 classifications.</w:t>
      </w:r>
    </w:p>
    <w:p>
      <w:pPr>
        <w:pStyle w:val="ListNumber"/>
        <w:numPr>
          <w:ilvl w:val="0"/>
          <w:numId w:val="17"/>
        </w:numPr>
      </w:pPr>
      <w:r>
        <w:rPr>
          <w:i w:val="0"/>
        </w:rPr>
        <w:t>Freeze the 17 canonical environment identifiers and finality rules.</w:t>
      </w:r>
    </w:p>
    <w:p>
      <w:pPr>
        <w:pStyle w:val="ListNumber"/>
        <w:numPr>
          <w:ilvl w:val="0"/>
          <w:numId w:val="17"/>
        </w:numPr>
      </w:pPr>
      <w:r>
        <w:rPr>
          <w:i w:val="0"/>
        </w:rPr>
        <w:t>Insert and verify all 17 fixed Dev Fund destinations.</w:t>
      </w:r>
    </w:p>
    <w:p>
      <w:pPr>
        <w:pStyle w:val="ListNumber"/>
        <w:numPr>
          <w:ilvl w:val="0"/>
          <w:numId w:val="17"/>
        </w:numPr>
      </w:pPr>
      <w:r>
        <w:rPr>
          <w:i w:val="0"/>
        </w:rPr>
        <w:t>Freeze the price-fetcher, signed/batched path, proof architecture, and Axelar ITS integration configuration.</w:t>
      </w:r>
    </w:p>
    <w:p>
      <w:pPr>
        <w:pStyle w:val="ListNumber"/>
        <w:numPr>
          <w:ilvl w:val="0"/>
          <w:numId w:val="17"/>
        </w:numPr>
      </w:pPr>
      <w:r>
        <w:rPr>
          <w:i w:val="0"/>
        </w:rPr>
        <w:t>Freeze compiler versions, dependency lockfiles, optimizer settings, deployment scripts, and bytecode.</w:t>
      </w:r>
    </w:p>
    <w:p>
      <w:pPr>
        <w:pStyle w:val="ListNumber"/>
        <w:numPr>
          <w:ilvl w:val="0"/>
          <w:numId w:val="17"/>
        </w:numPr>
      </w:pPr>
      <w:r>
        <w:rPr>
          <w:i w:val="0"/>
        </w:rPr>
        <w:t>Deploy and complete required one-time initialization.</w:t>
      </w:r>
    </w:p>
    <w:p>
      <w:pPr>
        <w:pStyle w:val="ListNumber"/>
        <w:numPr>
          <w:ilvl w:val="0"/>
          <w:numId w:val="17"/>
        </w:numPr>
      </w:pPr>
      <w:r>
        <w:rPr>
          <w:i w:val="0"/>
        </w:rPr>
        <w:t>Verify configuration counts, references, bytecode, authority termination, and permanent immutability.</w:t>
      </w:r>
    </w:p>
    <w:p>
      <w:pPr>
        <w:pStyle w:val="ListNumber"/>
        <w:numPr>
          <w:ilvl w:val="0"/>
          <w:numId w:val="17"/>
        </w:numPr>
      </w:pPr>
      <w:r>
        <w:rPr>
          <w:i w:val="0"/>
        </w:rPr>
        <w:t>Publish the deployment manifest and verification evidence.</w:t>
      </w:r>
    </w:p>
    <w:p>
      <w:pPr>
        <w:pStyle w:val="Heading1"/>
      </w:pPr>
      <w:r>
        <w:t>16. Verification, Testing, and Specification Traceability</w:t>
      </w:r>
    </w:p>
    <w:p>
      <w:pPr/>
      <w:r>
        <w:rPr>
          <w:i w:val="0"/>
        </w:rPr>
        <w:t>A passing test proves that an implementation behaved as its test expected. It does not prove that the expectation matched this specification. Every meaningful test and deployment check must therefore trace to one or more numbered requirements.</w:t>
      </w:r>
    </w:p>
    <w:p>
      <w:pPr>
        <w:pStyle w:val="Requirement"/>
      </w:pPr>
      <w:r>
        <w:rPr>
          <w:b/>
        </w:rPr>
        <w:t xml:space="preserve">VF-VER-001: </w:t>
      </w:r>
      <w:r>
        <w:t>Each numbered requirement maps to applicable contracts, source-environment programs, functions, tests, and deployment checks.</w:t>
      </w:r>
    </w:p>
    <w:p>
      <w:pPr>
        <w:pStyle w:val="Requirement"/>
      </w:pPr>
      <w:r>
        <w:rPr>
          <w:b/>
        </w:rPr>
        <w:t xml:space="preserve">VF-VER-002: </w:t>
      </w:r>
      <w:r>
        <w:t>Positive tests demonstrate every intended successful lifecycle, including one-use and three-use Handshake allowances, each new objectively distinct identity receiving its own applicable allowance, source-state and proof-verification-path enforcement, and recognized pending-attempt resolution.</w:t>
      </w:r>
    </w:p>
    <w:p>
      <w:pPr>
        <w:pStyle w:val="Requirement"/>
      </w:pPr>
      <w:r>
        <w:rPr>
          <w:b/>
        </w:rPr>
        <w:t xml:space="preserve">VF-VER-003: </w:t>
      </w:r>
      <w:r>
        <w:t>Negative tests demonstrate rejection of invalid amounts, assets, prices, proofs, destinations, recipients, outputs, replays, premature releases, cap breaches, unauthorized control, over-limit Handshakes, arbitrary out-of-protocol transactions, ambiguous or multi-key UTXO release paths, duplicate official submissions while objectively pending, and any timer-, mempool-, or non-observation-based clearing of a still-valid transaction. Tests also establish that failed, reverted, invalid, objectively expired, replaced, and unrecognized attempts consume no allowance.</w:t>
      </w:r>
    </w:p>
    <w:p>
      <w:pPr>
        <w:pStyle w:val="Requirement"/>
      </w:pPr>
      <w:r>
        <w:rPr>
          <w:b/>
        </w:rPr>
        <w:t xml:space="preserve">VF-VER-004: </w:t>
      </w:r>
      <w:r>
        <w:t>Boundary tests cover exact thresholds, timestamps, fee rounding, one-use and three-use Handshake limits, canonical release-public-key normalization across permitted encodings and script wrappers, objective pending-attempt disposition and invalidation, multiplier transitions, epoch boundaries, term expirations, and lifetime-cap behavior.</w:t>
      </w:r>
    </w:p>
    <w:p>
      <w:pPr>
        <w:pStyle w:val="Requirement"/>
      </w:pPr>
      <w:r>
        <w:rPr>
          <w:b/>
        </w:rPr>
        <w:t xml:space="preserve">VF-VER-005: </w:t>
      </w:r>
      <w:r>
        <w:t>Principal-isolation tests demonstrate release after maturity despite failure of Base issuance, price updates, relayers, epoch processing, and external integrations.</w:t>
      </w:r>
    </w:p>
    <w:p>
      <w:pPr>
        <w:pStyle w:val="Requirement"/>
      </w:pPr>
      <w:r>
        <w:rPr>
          <w:b/>
        </w:rPr>
        <w:t xml:space="preserve">VF-VER-006: </w:t>
      </w:r>
      <w:r>
        <w:t>Independent reproduction is stronger evidence than self-reported pass counts.</w:t>
      </w:r>
    </w:p>
    <w:p>
      <w:pPr>
        <w:pStyle w:val="Requirement"/>
      </w:pPr>
      <w:r>
        <w:rPr>
          <w:b/>
        </w:rPr>
        <w:t xml:space="preserve">VF-VER-007: </w:t>
      </w:r>
      <w:r>
        <w:t>No package may be described as production-ready or deployment-ready merely because it compiles or has a high passing-test count.</w:t>
      </w:r>
    </w:p>
    <w:p>
      <w:pPr>
        <w:pStyle w:val="Requirement"/>
      </w:pPr>
      <w:r>
        <w:rPr>
          <w:b/>
        </w:rPr>
        <w:t xml:space="preserve">VF-VER-008: </w:t>
      </w:r>
      <w:r>
        <w:t>A divergence between code and this specification is an implementation defect or a newly identified specification matter; code does not prevail by default.</w:t>
      </w:r>
    </w:p>
    <w:p>
      <w:pPr>
        <w:pStyle w:val="Heading1"/>
      </w:pPr>
      <w:r>
        <w:t>17. Machine-Readable, Transfer, and Market Representations</w:t>
      </w:r>
    </w:p>
    <w:p>
      <w:pPr>
        <w:pStyle w:val="Heading2"/>
      </w:pPr>
      <w:r>
        <w:t>17.1 Machine-readable records</w:t>
      </w:r>
    </w:p>
    <w:p>
      <w:pPr>
        <w:pStyle w:val="ListBullet"/>
      </w:pPr>
      <w:r>
        <w:rPr>
          <w:i w:val="0"/>
        </w:rPr>
        <w:t>The repository preserves the current human-readable Master Specification.</w:t>
      </w:r>
    </w:p>
    <w:p>
      <w:pPr>
        <w:pStyle w:val="ListBullet"/>
      </w:pPr>
      <w:r>
        <w:rPr>
          <w:i w:val="0"/>
        </w:rPr>
        <w:t>A machine-readable registry preserves every approved asset identity, environment, classification, pricing identifier, and source metadata.</w:t>
      </w:r>
    </w:p>
    <w:p>
      <w:pPr>
        <w:pStyle w:val="ListBullet"/>
      </w:pPr>
      <w:r>
        <w:rPr>
          <w:i w:val="0"/>
        </w:rPr>
        <w:t>The deployment manifest identifies every live address, environment identifier, source commit, bytecode hash, dependency, and fixed Dev Fund destination.</w:t>
      </w:r>
    </w:p>
    <w:p>
      <w:pPr>
        <w:pStyle w:val="ListBullet"/>
      </w:pPr>
      <w:r>
        <w:rPr>
          <w:i w:val="0"/>
        </w:rPr>
        <w:t>Public website language derives from the current specification and does not add economic promises or protocol features.</w:t>
      </w:r>
    </w:p>
    <w:p>
      <w:pPr>
        <w:pStyle w:val="ListBullet"/>
      </w:pPr>
      <w:r>
        <w:rPr>
          <w:i w:val="0"/>
        </w:rPr>
        <w:t>The public registry may display Symbol, Name, Environment, Price, Price Source, Last Updated, Contract or native identity, and available pricing metadata.</w:t>
      </w:r>
    </w:p>
    <w:p>
      <w:pPr>
        <w:pStyle w:val="ListBullet"/>
      </w:pPr>
      <w:r>
        <w:rPr>
          <w:i w:val="0"/>
        </w:rPr>
        <w:t>Website price data refreshes twice per day using the established price-fetcher process.</w:t>
      </w:r>
    </w:p>
    <w:p>
      <w:pPr>
        <w:pStyle w:val="Heading2"/>
      </w:pPr>
      <w:r>
        <w:t>17.2 External trading and listings</w:t>
      </w:r>
    </w:p>
    <w:p>
      <w:pPr/>
      <w:r>
        <w:rPr>
          <w:i w:val="0"/>
        </w:rPr>
        <w:t>External users and venues may transfer or trade protocol tokens without changing Vinculum Finalis. The protocol's intention to pursue exchange listings is a development objective rather than a promise of availability or value.</w:t>
      </w:r>
    </w:p>
    <w:p>
      <w:pPr>
        <w:pStyle w:val="Requirement"/>
      </w:pPr>
      <w:r>
        <w:rPr>
          <w:b/>
        </w:rPr>
        <w:t xml:space="preserve">VF-PUB-001: </w:t>
      </w:r>
      <w:r>
        <w:t>Every public and machine-readable representation must remain consistent with the current Master Specification.</w:t>
      </w:r>
    </w:p>
    <w:p>
      <w:pPr>
        <w:pStyle w:val="Requirement"/>
      </w:pPr>
      <w:r>
        <w:rPr>
          <w:b/>
        </w:rPr>
        <w:t xml:space="preserve">VF-PUB-002: </w:t>
      </w:r>
      <w:r>
        <w:t>Public price displays must identify the selected source and last update time without presenting the reference as a guaranteed trading price.</w:t>
      </w:r>
    </w:p>
    <w:p>
      <w:pPr>
        <w:pStyle w:val="Requirement"/>
      </w:pPr>
      <w:r>
        <w:rPr>
          <w:b/>
        </w:rPr>
        <w:t xml:space="preserve">VF-PUB-003: </w:t>
      </w:r>
      <w:r>
        <w:t>Exchange or liquidity-venue activity cannot modify protocol calculations or supply accounting.</w:t>
      </w:r>
    </w:p>
    <w:p>
      <w:pPr>
        <w:pStyle w:val="Heading1"/>
      </w:pPr>
      <w:r>
        <w:t>18. Explicitly Superseded Concepts</w:t>
      </w:r>
    </w:p>
    <w:p>
      <w:pPr/>
      <w:r>
        <w:rPr>
          <w:i w:val="0"/>
        </w:rPr>
        <w:t>The following concepts are rejected or superseded. Their presence in historical code, documents, tests, or conversations does not authorize their return.</w:t>
      </w:r>
    </w:p>
    <w:p>
      <w:pPr>
        <w:pStyle w:val="ListBullet"/>
      </w:pPr>
      <w:r>
        <w:rPr>
          <w:i w:val="0"/>
        </w:rPr>
        <w:t>Governance, voting seats, proposal deposits, councils, administrative treasury discretion, or governance staking.</w:t>
      </w:r>
    </w:p>
    <w:p>
      <w:pPr>
        <w:pStyle w:val="ListBullet"/>
      </w:pPr>
      <w:r>
        <w:rPr>
          <w:i w:val="0"/>
        </w:rPr>
        <w:t>Admin keys, upgradeability, pausing, rescue authority, or post-deployment parameter adjustment.</w:t>
      </w:r>
    </w:p>
    <w:p>
      <w:pPr>
        <w:pStyle w:val="ListBullet"/>
      </w:pPr>
      <w:r>
        <w:rPr>
          <w:i w:val="0"/>
        </w:rPr>
        <w:t>Fee splitting, fee conversion, fee swapping, preferred-stable routing, a value-holding protocol treasury, or multiple fee destinations.</w:t>
      </w:r>
    </w:p>
    <w:p>
      <w:pPr>
        <w:pStyle w:val="ListBullet"/>
      </w:pPr>
      <w:r>
        <w:rPr>
          <w:i w:val="0"/>
        </w:rPr>
        <w:t>Any Commitment Vault Lock that produces both VCLM and CHONX.</w:t>
      </w:r>
    </w:p>
    <w:p>
      <w:pPr>
        <w:pStyle w:val="ListBullet"/>
      </w:pPr>
      <w:r>
        <w:rPr>
          <w:i w:val="0"/>
        </w:rPr>
        <w:t>Using VCLM, CHONX, or SYNTH as Commitment Vault Lock input.</w:t>
      </w:r>
    </w:p>
    <w:p>
      <w:pPr>
        <w:pStyle w:val="ListBullet"/>
      </w:pPr>
      <w:r>
        <w:rPr>
          <w:i w:val="0"/>
        </w:rPr>
        <w:t>A preferential VCLM-to-CHONX Commitment Vault Lock route.</w:t>
      </w:r>
    </w:p>
    <w:p>
      <w:pPr>
        <w:pStyle w:val="ListBullet"/>
      </w:pPr>
      <w:r>
        <w:rPr>
          <w:i w:val="0"/>
        </w:rPr>
        <w:t>Delaying Treasury Reward Stake until CHONX activation.</w:t>
      </w:r>
    </w:p>
    <w:p>
      <w:pPr>
        <w:pStyle w:val="ListBullet"/>
      </w:pPr>
      <w:r>
        <w:t>A universal one-use or universal three-use Trust-Building Handshake allowance that ignores the selected source mechanism's state capability, a $100 Handshake ceiling, or charging 5.00% for later one-hour attempts.</w:t>
      </w:r>
    </w:p>
    <w:p>
      <w:pPr>
        <w:pStyle w:val="ListBullet"/>
      </w:pPr>
      <w:r>
        <w:rPr>
          <w:i w:val="0"/>
        </w:rPr>
        <w:t>A 160-day Treasury Reward Stake term or a 120-day multiplier other than 2.0x.</w:t>
      </w:r>
    </w:p>
    <w:p>
      <w:pPr>
        <w:pStyle w:val="ListBullet"/>
      </w:pPr>
      <w:r>
        <w:rPr>
          <w:i w:val="0"/>
        </w:rPr>
        <w:t>Treating WETH, WBTC, or alternate-chain forms as S2.</w:t>
      </w:r>
    </w:p>
    <w:p>
      <w:pPr>
        <w:pStyle w:val="ListBullet"/>
      </w:pPr>
      <w:r>
        <w:rPr>
          <w:i w:val="0"/>
        </w:rPr>
        <w:t>A 14- or 16-environment architecture.</w:t>
      </w:r>
    </w:p>
    <w:p>
      <w:pPr>
        <w:pStyle w:val="ListBullet"/>
      </w:pPr>
      <w:r>
        <w:rPr>
          <w:i w:val="0"/>
        </w:rPr>
        <w:t>Two-source price consensus, a 5% source-spread rule, lower-median pricing, a 10-minute price-freshness rule, or a new reporter committee.</w:t>
      </w:r>
    </w:p>
    <w:p>
      <w:pPr>
        <w:pStyle w:val="ListBullet"/>
      </w:pPr>
      <w:r>
        <w:rPr>
          <w:i w:val="0"/>
        </w:rPr>
        <w:t>Market-price adjustment of the permanent $0.10 Reward Reference Value.</w:t>
      </w:r>
    </w:p>
    <w:p>
      <w:pPr>
        <w:pStyle w:val="ListBullet"/>
      </w:pPr>
      <w:r>
        <w:rPr>
          <w:i w:val="0"/>
        </w:rPr>
        <w:t>Asset multipliers changing VCLM or CHONX decay.</w:t>
      </w:r>
    </w:p>
    <w:p>
      <w:pPr>
        <w:pStyle w:val="ListBullet"/>
      </w:pPr>
      <w:r>
        <w:rPr>
          <w:i w:val="0"/>
        </w:rPr>
        <w:t>Bridging or wrapping Commitment Vault principal.</w:t>
      </w:r>
    </w:p>
    <w:p>
      <w:pPr>
        <w:pStyle w:val="ListBullet"/>
      </w:pPr>
      <w:r>
        <w:rPr>
          <w:i w:val="0"/>
        </w:rPr>
        <w:t>Early release or renewal of a Commitment Vault Lock.</w:t>
      </w:r>
    </w:p>
    <w:p>
      <w:pPr>
        <w:pStyle w:val="ListBullet"/>
      </w:pPr>
      <w:r>
        <w:rPr>
          <w:i w:val="0"/>
        </w:rPr>
        <w:t>Independent protocol-token supplies or replacement of Axelar ITS with another cross-chain token system.</w:t>
      </w:r>
    </w:p>
    <w:p>
      <w:pPr>
        <w:pStyle w:val="Heading1"/>
      </w:pPr>
      <w:r>
        <w:t>19. Required Architecture Deliverables and Deferred External Inputs</w:t>
      </w:r>
    </w:p>
    <w:p>
      <w:pPr/>
      <w:r>
        <w:t>The behavioral decisions in this specification are binding and fully incorporate the presently approved amendment set. The items below are implementation, deployability-evidence, and deployment deliverables, not permission to change behavior. Their absence prevents deployment but does not require the specification to prescribe every low-level design choice. No owner decision remains open.</w:t>
      </w:r>
    </w:p>
    <w:tbl>
      <w:tblPr>
        <w:tblStyle w:val="TableGrid"/>
        <w:tblW w:type="dxa" w:w="9648"/>
        <w:jc w:val="left"/>
        <w:tblLayout w:type="fixed"/>
        <w:tblLook w:firstColumn="1" w:firstRow="1" w:lastColumn="0" w:lastRow="0" w:noHBand="0" w:noVBand="1" w:val="04A0"/>
        <w:tblInd w:w="120" w:type="dxa"/>
      </w:tblPr>
      <w:tblGrid>
        <w:gridCol w:w="2520"/>
        <w:gridCol w:w="4752"/>
        <w:gridCol w:w="2376"/>
      </w:tblGrid>
      <w:tr>
        <w:trPr>
          <w:tblHeader w:val="true"/>
          <w:cantSplit/>
        </w:trPr>
        <w:tc>
          <w:tcPr>
            <w:tcW w:type="dxa" w:w="2520"/>
            <w:shd w:fill="18324B"/>
            <w:tcMar>
              <w:top w:w="72" w:type="dxa"/>
              <w:start w:w="90" w:type="dxa"/>
              <w:bottom w:w="72" w:type="dxa"/>
              <w:end w:w="90" w:type="dxa"/>
            </w:tcMar>
            <w:vAlign w:val="center"/>
          </w:tcPr>
          <w:p>
            <w:pPr>
              <w:spacing w:after="0"/>
              <w:jc w:val="left"/>
            </w:pPr>
            <w:r>
              <w:rPr>
                <w:rFonts w:ascii="Aptos" w:hAnsi="Aptos" w:eastAsia="Aptos"/>
                <w:b/>
                <w:color w:val="FFFFFF"/>
                <w:sz w:val="15"/>
              </w:rPr>
              <w:t>Deliverable</w:t>
            </w:r>
          </w:p>
        </w:tc>
        <w:tc>
          <w:tcPr>
            <w:tcW w:type="dxa" w:w="4752"/>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outcome</w:t>
            </w:r>
          </w:p>
        </w:tc>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Stage</w:t>
            </w:r>
          </w:p>
        </w:tc>
      </w:tr>
      <w:tr>
        <w:trPr>
          <w:cantSplit/>
        </w:trPr>
        <w:tc>
          <w:tcPr>
            <w:tcW w:type="dxa" w:w="2520"/>
            <w:tcMar>
              <w:top w:w="72" w:type="dxa"/>
              <w:start w:w="90" w:type="dxa"/>
              <w:bottom w:w="72" w:type="dxa"/>
              <w:end w:w="90" w:type="dxa"/>
            </w:tcMar>
            <w:vAlign w:val="center"/>
          </w:tcPr>
          <w:p>
            <w:pPr>
              <w:spacing w:after="0" w:line="240" w:lineRule="auto"/>
              <w:jc w:val="left"/>
            </w:pPr>
            <w:r>
              <w:rPr>
                <w:rFonts w:ascii="Aptos" w:hAnsi="Aptos" w:eastAsia="Aptos"/>
                <w:sz w:val="15"/>
              </w:rPr>
              <w:t>17-environment finality matrix</w:t>
            </w:r>
          </w:p>
        </w:tc>
        <w:tc>
          <w:tcPr>
            <w:tcW w:type="dxa" w:w="4752"/>
            <w:tcMar>
              <w:top w:w="72" w:type="dxa"/>
              <w:start w:w="90" w:type="dxa"/>
              <w:bottom w:w="72" w:type="dxa"/>
              <w:end w:w="90" w:type="dxa"/>
            </w:tcMar>
            <w:vAlign w:val="center"/>
          </w:tcPr>
          <w:p>
            <w:pPr>
              <w:spacing w:after="0" w:line="240" w:lineRule="auto"/>
              <w:jc w:val="left"/>
            </w:pPr>
            <w:r>
              <w:rPr>
                <w:rFonts w:ascii="Aptos" w:hAnsi="Aptos" w:eastAsia="Aptos"/>
                <w:sz w:val="15"/>
              </w:rPr>
              <w:t>One deterministic finality condition for every supported environment</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Architecture before implementation</w:t>
            </w:r>
          </w:p>
        </w:tc>
      </w:tr>
      <w:tr>
        <w:trPr>
          <w:cantSplit/>
        </w:trPr>
        <w:tc>
          <w:tcPr>
            <w:tcW w:type="dxa" w:w="2520"/>
            <w:tcMar>
              <w:top w:w="72" w:type="dxa"/>
              <w:start w:w="90" w:type="dxa"/>
              <w:bottom w:w="72" w:type="dxa"/>
              <w:end w:w="90" w:type="dxa"/>
            </w:tcMar>
            <w:vAlign w:val="center"/>
            <w:shd w:fill="F3F7FA"/>
          </w:tcPr>
          <w:p>
            <w:pPr>
              <w:spacing w:after="0" w:line="240" w:lineRule="auto"/>
              <w:jc w:val="left"/>
            </w:pPr>
            <w:r>
              <w:rPr>
                <w:rFonts w:ascii="Aptos" w:hAnsi="Aptos" w:eastAsia="Aptos"/>
                <w:sz w:val="15"/>
              </w:rPr>
              <w:t>Cross-chain proof architecture</w:t>
            </w:r>
          </w:p>
        </w:tc>
        <w:tc>
          <w:tcPr>
            <w:tcW w:type="dxa" w:w="4752"/>
            <w:tcMar>
              <w:top w:w="72" w:type="dxa"/>
              <w:start w:w="90" w:type="dxa"/>
              <w:bottom w:w="72" w:type="dxa"/>
              <w:end w:w="90" w:type="dxa"/>
            </w:tcMar>
            <w:vAlign w:val="center"/>
            <w:shd w:fill="F3F7FA"/>
          </w:tcPr>
          <w:p>
            <w:pPr>
              <w:spacing w:after="0" w:line="240" w:lineRule="auto"/>
              <w:jc w:val="left"/>
            </w:pPr>
            <w:r>
              <w:rPr>
                <w:rFonts w:ascii="Aptos" w:hAnsi="Aptos" w:eastAsia="Aptos"/>
                <w:sz w:val="15"/>
              </w:rPr>
              <w:t>Evidence and replay behavior conforming to Section 11.3</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Architecture before implementation</w:t>
            </w:r>
          </w:p>
        </w:tc>
      </w:tr>
      <w:tr>
        <w:trPr>
          <w:cantSplit/>
        </w:trPr>
        <w:tc>
          <w:tcPr>
            <w:tcW w:type="dxa" w:w="2520"/>
            <w:tcMar>
              <w:top w:w="72" w:type="dxa"/>
              <w:start w:w="90" w:type="dxa"/>
              <w:bottom w:w="72" w:type="dxa"/>
              <w:end w:w="90" w:type="dxa"/>
            </w:tcMar>
            <w:vAlign w:val="center"/>
          </w:tcPr>
          <w:p>
            <w:pPr>
              <w:spacing w:after="0" w:line="240" w:lineRule="auto"/>
              <w:jc w:val="left"/>
            </w:pPr>
            <w:r>
              <w:rPr>
                <w:rFonts w:ascii="Aptos" w:hAnsi="Aptos" w:eastAsia="Aptos"/>
                <w:sz w:val="15"/>
              </w:rPr>
              <w:t>Axelar ITS integration</w:t>
            </w:r>
          </w:p>
        </w:tc>
        <w:tc>
          <w:tcPr>
            <w:tcW w:type="dxa" w:w="4752"/>
            <w:tcMar>
              <w:top w:w="72" w:type="dxa"/>
              <w:start w:w="90" w:type="dxa"/>
              <w:bottom w:w="72" w:type="dxa"/>
              <w:end w:w="90" w:type="dxa"/>
            </w:tcMar>
            <w:vAlign w:val="center"/>
          </w:tcPr>
          <w:p>
            <w:pPr>
              <w:spacing w:after="0" w:line="240" w:lineRule="auto"/>
              <w:jc w:val="left"/>
            </w:pPr>
            <w:r>
              <w:rPr>
                <w:rFonts w:ascii="Aptos" w:hAnsi="Aptos" w:eastAsia="Aptos"/>
                <w:sz w:val="15"/>
              </w:rPr>
              <w:t>One globally reconciled protocol-token system governed from Base</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Architecture before implementation</w:t>
            </w:r>
          </w:p>
        </w:tc>
      </w:tr>
      <w:tr>
        <w:trPr>
          <w:cantSplit/>
        </w:trPr>
        <w:tc>
          <w:tcPr>
            <w:tcW w:type="dxa" w:w="2520"/>
            <w:tcMar>
              <w:top w:w="72" w:type="dxa"/>
              <w:start w:w="90" w:type="dxa"/>
              <w:bottom w:w="72" w:type="dxa"/>
              <w:end w:w="90" w:type="dxa"/>
            </w:tcMar>
            <w:vAlign w:val="center"/>
            <w:shd w:fill="F3F7FA"/>
          </w:tcPr>
          <w:p>
            <w:pPr>
              <w:spacing w:after="0" w:line="240" w:lineRule="auto"/>
              <w:jc w:val="left"/>
            </w:pPr>
            <w:r>
              <w:rPr>
                <w:rFonts w:ascii="Aptos" w:hAnsi="Aptos" w:eastAsia="Aptos"/>
                <w:sz w:val="15"/>
              </w:rPr>
              <w:t>Dev Fund destinations</w:t>
            </w:r>
          </w:p>
        </w:tc>
        <w:tc>
          <w:tcPr>
            <w:tcW w:type="dxa" w:w="4752"/>
            <w:tcMar>
              <w:top w:w="72" w:type="dxa"/>
              <w:start w:w="90" w:type="dxa"/>
              <w:bottom w:w="72" w:type="dxa"/>
              <w:end w:w="90" w:type="dxa"/>
            </w:tcMar>
            <w:vAlign w:val="center"/>
            <w:shd w:fill="F3F7FA"/>
          </w:tcPr>
          <w:p>
            <w:pPr>
              <w:spacing w:after="0" w:line="240" w:lineRule="auto"/>
              <w:jc w:val="left"/>
            </w:pPr>
            <w:r>
              <w:rPr>
                <w:rFonts w:ascii="Aptos" w:hAnsi="Aptos" w:eastAsia="Aptos"/>
                <w:sz w:val="15"/>
              </w:rPr>
              <w:t>One fixed destination for every supported environment</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After prototype review and before heavy testing</w:t>
            </w:r>
          </w:p>
        </w:tc>
      </w:tr>
      <w:tr>
        <w:trPr>
          <w:cantSplit/>
        </w:trPr>
        <w:tc>
          <w:tcPr>
            <w:tcW w:type="dxa" w:w="2520"/>
            <w:tcMar>
              <w:top w:w="72" w:type="dxa"/>
              <w:start w:w="90" w:type="dxa"/>
              <w:bottom w:w="72" w:type="dxa"/>
              <w:end w:w="90" w:type="dxa"/>
            </w:tcMar>
            <w:vAlign w:val="center"/>
          </w:tcPr>
          <w:p>
            <w:pPr>
              <w:spacing w:after="0" w:line="240" w:lineRule="auto"/>
              <w:jc w:val="left"/>
            </w:pPr>
            <w:r>
              <w:rPr>
                <w:rFonts w:ascii="Aptos" w:hAnsi="Aptos" w:eastAsia="Aptos"/>
                <w:sz w:val="15"/>
              </w:rPr>
              <w:t>Production dependencies</w:t>
            </w:r>
          </w:p>
        </w:tc>
        <w:tc>
          <w:tcPr>
            <w:tcW w:type="dxa" w:w="4752"/>
            <w:tcMar>
              <w:top w:w="72" w:type="dxa"/>
              <w:start w:w="90" w:type="dxa"/>
              <w:bottom w:w="72" w:type="dxa"/>
              <w:end w:w="90" w:type="dxa"/>
            </w:tcMar>
            <w:vAlign w:val="center"/>
          </w:tcPr>
          <w:p>
            <w:pPr>
              <w:spacing w:after="0" w:line="240" w:lineRule="auto"/>
              <w:jc w:val="left"/>
            </w:pPr>
            <w:r>
              <w:rPr>
                <w:rFonts w:ascii="Aptos" w:hAnsi="Aptos" w:eastAsia="Aptos"/>
                <w:sz w:val="15"/>
              </w:rPr>
              <w:t>All addresses, identifiers, signers, and contract references verified</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Before deployment finalization</w:t>
            </w:r>
          </w:p>
        </w:tc>
      </w:tr>
      <w:tr>
        <w:trPr>
          <w:cantSplit/>
        </w:trPr>
        <w:tc>
          <w:tcPr>
            <w:tcW w:type="dxa" w:w="2520"/>
            <w:tcMar>
              <w:top w:w="72" w:type="dxa"/>
              <w:start w:w="90" w:type="dxa"/>
              <w:bottom w:w="72" w:type="dxa"/>
              <w:end w:w="90" w:type="dxa"/>
            </w:tcMar>
            <w:vAlign w:val="center"/>
            <w:shd w:fill="F3F7FA"/>
          </w:tcPr>
          <w:p>
            <w:pPr>
              <w:spacing w:after="0" w:line="240" w:lineRule="auto"/>
              <w:jc w:val="left"/>
            </w:pPr>
            <w:r>
              <w:rPr>
                <w:rFonts w:ascii="Aptos" w:hAnsi="Aptos" w:eastAsia="Aptos"/>
                <w:sz w:val="15"/>
              </w:rPr>
              <w:t>Deployment evidence</w:t>
            </w:r>
          </w:p>
        </w:tc>
        <w:tc>
          <w:tcPr>
            <w:tcW w:type="dxa" w:w="4752"/>
            <w:tcMar>
              <w:top w:w="72" w:type="dxa"/>
              <w:start w:w="90" w:type="dxa"/>
              <w:bottom w:w="72" w:type="dxa"/>
              <w:end w:w="90" w:type="dxa"/>
            </w:tcMar>
            <w:vAlign w:val="center"/>
            <w:shd w:fill="F3F7FA"/>
          </w:tcPr>
          <w:p>
            <w:pPr>
              <w:spacing w:after="0" w:line="240" w:lineRule="auto"/>
              <w:jc w:val="left"/>
            </w:pPr>
            <w:r>
              <w:rPr>
                <w:rFonts w:ascii="Aptos" w:hAnsi="Aptos" w:eastAsia="Aptos"/>
                <w:sz w:val="15"/>
              </w:rPr>
              <w:t>Source, configuration, bytecode, hashes, and authority termination recorded</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Before deployment is considered complete</w:t>
            </w:r>
          </w:p>
        </w:tc>
      </w:tr>
      <w:tr>
        <w:trPr>
          <w:cantSplit/>
        </w:trPr>
        <w:tc>
          <w:tcPr>
            <w:tcW w:type="dxa" w:w="2520"/>
            <w:tcMar>
              <w:top w:w="72" w:type="dxa"/>
              <w:start w:w="90" w:type="dxa"/>
              <w:bottom w:w="72" w:type="dxa"/>
              <w:end w:w="90" w:type="dxa"/>
            </w:tcMar>
            <w:vAlign w:val="center"/>
          </w:tcPr>
          <w:p>
            <w:r/>
            <w:r>
              <w:rPr>
                <w:rFonts w:ascii="Aptos" w:hAnsi="Aptos" w:eastAsia="Aptos"/>
                <w:b w:val="0"/>
                <w:sz w:val="15"/>
              </w:rPr>
              <w:t>Handshake identity, allowance, and pending-attempt verifier</w:t>
            </w:r>
          </w:p>
        </w:tc>
        <w:tc>
          <w:tcPr>
            <w:tcW w:type="dxa" w:w="4752"/>
            <w:tcMar>
              <w:top w:w="72" w:type="dxa"/>
              <w:start w:w="90" w:type="dxa"/>
              <w:bottom w:w="72" w:type="dxa"/>
              <w:end w:w="90" w:type="dxa"/>
            </w:tcMar>
            <w:vAlign w:val="center"/>
          </w:tcPr>
          <w:p>
            <w:r/>
            <w:r>
              <w:rPr>
                <w:rFonts w:ascii="Aptos" w:hAnsi="Aptos" w:eastAsia="Aptos"/>
                <w:b w:val="0"/>
                <w:sz w:val="15"/>
              </w:rPr>
              <w:t>Per-environment evidence for the one-versus-three allowance, canonical UTXO release-public-key identity, official-application prevention, and objective pending-attempt disposition</w:t>
            </w:r>
          </w:p>
        </w:tc>
        <w:tc>
          <w:tcPr>
            <w:tcW w:type="dxa" w:w="2376"/>
            <w:tcMar>
              <w:top w:w="72" w:type="dxa"/>
              <w:start w:w="90" w:type="dxa"/>
              <w:bottom w:w="72" w:type="dxa"/>
              <w:end w:w="90" w:type="dxa"/>
            </w:tcMar>
            <w:vAlign w:val="center"/>
          </w:tcPr>
          <w:p>
            <w:r/>
            <w:r>
              <w:rPr>
                <w:rFonts w:ascii="Aptos" w:hAnsi="Aptos" w:eastAsia="Aptos"/>
                <w:b w:val="0"/>
                <w:sz w:val="15"/>
              </w:rPr>
              <w:t>Architecture and deployability evidence before implementation</w:t>
            </w:r>
          </w:p>
        </w:tc>
      </w:tr>
      <w:tr>
        <w:trPr>
          <w:cantSplit/>
        </w:trPr>
        <w:tc>
          <w:tcPr>
            <w:tcW w:type="dxa" w:w="2520"/>
            <w:tcMar>
              <w:top w:w="72" w:type="dxa"/>
              <w:start w:w="90" w:type="dxa"/>
              <w:bottom w:w="72" w:type="dxa"/>
              <w:end w:w="90" w:type="dxa"/>
            </w:tcMar>
            <w:vAlign w:val="center"/>
          </w:tcPr>
          <w:p>
            <w:r/>
            <w:r>
              <w:rPr>
                <w:rFonts w:ascii="Aptos" w:hAnsi="Aptos" w:eastAsia="Aptos"/>
                <w:b w:val="0"/>
                <w:sz w:val="15"/>
              </w:rPr>
              <w:t>Cosmos Hub chain-native feasibility analysis</w:t>
            </w:r>
          </w:p>
        </w:tc>
        <w:tc>
          <w:tcPr>
            <w:tcW w:type="dxa" w:w="4752"/>
            <w:tcMar>
              <w:top w:w="72" w:type="dxa"/>
              <w:start w:w="90" w:type="dxa"/>
              <w:bottom w:w="72" w:type="dxa"/>
              <w:end w:w="90" w:type="dxa"/>
            </w:tcMar>
            <w:vAlign w:val="center"/>
          </w:tcPr>
          <w:p>
            <w:r/>
            <w:r>
              <w:rPr>
                <w:rFonts w:ascii="Aptos" w:hAnsi="Aptos" w:eastAsia="Aptos"/>
                <w:b w:val="0"/>
                <w:sz w:val="15"/>
              </w:rPr>
              <w:t>Complete the required capability, candidate-mechanism, deployability, and invariant-failure analysis without inventing a fallback or changing protocol behavior</w:t>
            </w:r>
          </w:p>
        </w:tc>
        <w:tc>
          <w:tcPr>
            <w:tcW w:type="dxa" w:w="2376"/>
            <w:tcMar>
              <w:top w:w="72" w:type="dxa"/>
              <w:start w:w="90" w:type="dxa"/>
              <w:bottom w:w="72" w:type="dxa"/>
              <w:end w:w="90" w:type="dxa"/>
            </w:tcMar>
            <w:vAlign w:val="center"/>
          </w:tcPr>
          <w:p>
            <w:r/>
            <w:r>
              <w:rPr>
                <w:rFonts w:ascii="Aptos" w:hAnsi="Aptos" w:eastAsia="Aptos"/>
                <w:b w:val="0"/>
                <w:sz w:val="15"/>
              </w:rPr>
              <w:t>Architecture before implementation</w:t>
            </w:r>
          </w:p>
        </w:tc>
      </w:tr>
    </w:tbl>
    <w:p>
      <w:pPr>
        <w:spacing w:after="20"/>
      </w:pPr>
    </w:p>
    <w:p>
      <w:pPr>
        <w:pStyle w:val="Requirement"/>
      </w:pPr>
      <w:r>
        <w:rPr>
          <w:b/>
        </w:rPr>
        <w:t xml:space="preserve">VF-EXT-001: </w:t>
      </w:r>
      <w:r>
        <w:t>The implementer may design a chain-native architecture only within the requirements and prohibitions of this specification. A design is judged by equivalent required outcomes, security, and economic performance rather than resemblance to an EVM contract.</w:t>
      </w:r>
    </w:p>
    <w:p>
      <w:pPr>
        <w:pStyle w:val="Requirement"/>
      </w:pPr>
      <w:r>
        <w:rPr>
          <w:b/>
        </w:rPr>
        <w:t xml:space="preserve">VF-EXT-002: </w:t>
      </w:r>
      <w:r>
        <w:t>An unavailable external address or unfinished architecture deliverable must be reported as incomplete rather than replaced with an invented value or behavior.</w:t>
      </w:r>
    </w:p>
    <w:p>
      <w:pPr>
        <w:pStyle w:val="Requirement"/>
      </w:pPr>
      <w:r>
        <w:rPr>
          <w:b/>
        </w:rPr>
        <w:t xml:space="preserve">VF-EXT-003: </w:t>
      </w:r>
      <w:r>
        <w:t>No live deployment may be finalized until every deliverable required for that deployment has been completed and verified.</w:t>
      </w:r>
    </w:p>
    <w:p>
      <w:pPr>
        <w:pStyle w:val="Heading1"/>
      </w:pPr>
      <w:r>
        <w:t>Appendix A. Consolidated Formulas and Schedules</w:t>
      </w:r>
    </w:p>
    <w:p>
      <w:pPr>
        <w:pStyle w:val="Heading2"/>
      </w:pPr>
      <w:r>
        <w:t>A.1 Commitment Vault issuance</w:t>
      </w:r>
    </w:p>
    <w:p>
      <w:pPr>
        <w:spacing w:before="80" w:after="140"/>
        <w:jc w:val="center"/>
      </w:pPr>
      <w:r>
        <w:rPr>
          <w:b/>
          <w:color w:val="18324B"/>
        </w:rPr>
        <w:t>Output = Verified Gross USD Value x current emission rate x asset multiplier x Commitment Vault Lock duration multiplier</w:t>
      </w:r>
    </w:p>
    <w:p>
      <w:pPr/>
      <w:r>
        <w:rPr>
          <w:i w:val="0"/>
        </w:rPr>
        <w:t>Apply the factors in the written order using 18-decimal fixed-point arithmetic. Round down at every integer division and finally express the result in the output token's smallest units.</w:t>
      </w:r>
    </w:p>
    <w:p>
      <w:pPr>
        <w:pStyle w:val="Heading2"/>
      </w:pPr>
      <w:r>
        <w:t>A.2 Asset multipliers</w:t>
      </w:r>
    </w:p>
    <w:tbl>
      <w:tblPr>
        <w:tblStyle w:val="TableGrid"/>
        <w:tblW w:type="dxa" w:w="9648"/>
        <w:jc w:val="left"/>
        <w:tblLayout w:type="fixed"/>
        <w:tblLook w:firstColumn="1" w:firstRow="1" w:lastColumn="0" w:lastRow="0" w:noHBand="0" w:noVBand="1" w:val="04A0"/>
        <w:tblInd w:w="120" w:type="dxa"/>
      </w:tblPr>
      <w:tblGrid>
        <w:gridCol w:w="1296"/>
        <w:gridCol w:w="1584"/>
        <w:gridCol w:w="6768"/>
      </w:tblGrid>
      <w:tr>
        <w:trPr>
          <w:tblHeader w:val="true"/>
          <w:cantSplit/>
        </w:trPr>
        <w:tc>
          <w:tcPr>
            <w:tcW w:type="dxa" w:w="1296"/>
            <w:shd w:fill="18324B"/>
            <w:tcMar>
              <w:top w:w="72" w:type="dxa"/>
              <w:start w:w="90" w:type="dxa"/>
              <w:bottom w:w="72" w:type="dxa"/>
              <w:end w:w="90" w:type="dxa"/>
            </w:tcMar>
            <w:vAlign w:val="center"/>
          </w:tcPr>
          <w:p>
            <w:pPr>
              <w:spacing w:after="0"/>
              <w:jc w:val="center"/>
            </w:pPr>
            <w:r>
              <w:rPr>
                <w:rFonts w:ascii="Aptos" w:hAnsi="Aptos" w:eastAsia="Aptos"/>
                <w:b/>
                <w:color w:val="FFFFFF"/>
                <w:sz w:val="16"/>
              </w:rPr>
              <w:t>Class</w:t>
            </w:r>
          </w:p>
        </w:tc>
        <w:tc>
          <w:tcPr>
            <w:tcW w:type="dxa" w:w="1584"/>
            <w:shd w:fill="18324B"/>
            <w:tcMar>
              <w:top w:w="72" w:type="dxa"/>
              <w:start w:w="90" w:type="dxa"/>
              <w:bottom w:w="72" w:type="dxa"/>
              <w:end w:w="90" w:type="dxa"/>
            </w:tcMar>
            <w:vAlign w:val="center"/>
          </w:tcPr>
          <w:p>
            <w:pPr>
              <w:spacing w:after="0"/>
              <w:jc w:val="center"/>
            </w:pPr>
            <w:r>
              <w:rPr>
                <w:rFonts w:ascii="Aptos" w:hAnsi="Aptos" w:eastAsia="Aptos"/>
                <w:b/>
                <w:color w:val="FFFFFF"/>
                <w:sz w:val="16"/>
              </w:rPr>
              <w:t>Multiplier</w:t>
            </w:r>
          </w:p>
        </w:tc>
        <w:tc>
          <w:tcPr>
            <w:tcW w:type="dxa" w:w="6768"/>
            <w:shd w:fill="18324B"/>
            <w:tcMar>
              <w:top w:w="72" w:type="dxa"/>
              <w:start w:w="90" w:type="dxa"/>
              <w:bottom w:w="72" w:type="dxa"/>
              <w:end w:w="90" w:type="dxa"/>
            </w:tcMar>
            <w:vAlign w:val="center"/>
          </w:tcPr>
          <w:p>
            <w:pPr>
              <w:spacing w:after="0"/>
              <w:jc w:val="left"/>
            </w:pPr>
            <w:r>
              <w:rPr>
                <w:rFonts w:ascii="Aptos" w:hAnsi="Aptos" w:eastAsia="Aptos"/>
                <w:b/>
                <w:color w:val="FFFFFF"/>
                <w:sz w:val="16"/>
              </w:rPr>
              <w:t>Exact canonical assets</w:t>
            </w:r>
          </w:p>
        </w:tc>
      </w:tr>
      <w:tr>
        <w:trPr>
          <w:cantSplit/>
        </w:trPr>
        <w:tc>
          <w:tcPr>
            <w:tcW w:type="dxa" w:w="1296"/>
            <w:tcMar>
              <w:top w:w="72" w:type="dxa"/>
              <w:start w:w="90" w:type="dxa"/>
              <w:bottom w:w="72" w:type="dxa"/>
              <w:end w:w="90" w:type="dxa"/>
            </w:tcMar>
            <w:vAlign w:val="center"/>
          </w:tcPr>
          <w:p>
            <w:pPr>
              <w:spacing w:after="0" w:line="240" w:lineRule="auto"/>
              <w:jc w:val="center"/>
            </w:pPr>
            <w:r>
              <w:rPr>
                <w:rFonts w:ascii="Aptos" w:hAnsi="Aptos" w:eastAsia="Aptos"/>
                <w:sz w:val="16"/>
              </w:rPr>
              <w:t>S1</w:t>
            </w:r>
          </w:p>
        </w:tc>
        <w:tc>
          <w:tcPr>
            <w:tcW w:type="dxa" w:w="1584"/>
            <w:tcMar>
              <w:top w:w="72" w:type="dxa"/>
              <w:start w:w="90" w:type="dxa"/>
              <w:bottom w:w="72" w:type="dxa"/>
              <w:end w:w="90" w:type="dxa"/>
            </w:tcMar>
            <w:vAlign w:val="center"/>
          </w:tcPr>
          <w:p>
            <w:pPr>
              <w:spacing w:after="0" w:line="240" w:lineRule="auto"/>
              <w:jc w:val="center"/>
            </w:pPr>
            <w:r>
              <w:rPr>
                <w:rFonts w:ascii="Aptos" w:hAnsi="Aptos" w:eastAsia="Aptos"/>
                <w:sz w:val="16"/>
              </w:rPr>
              <w:t>1.5x</w:t>
            </w:r>
          </w:p>
        </w:tc>
        <w:tc>
          <w:tcPr>
            <w:tcW w:type="dxa" w:w="6768"/>
            <w:tcMar>
              <w:top w:w="72" w:type="dxa"/>
              <w:start w:w="90" w:type="dxa"/>
              <w:bottom w:w="72" w:type="dxa"/>
              <w:end w:w="90" w:type="dxa"/>
            </w:tcMar>
            <w:vAlign w:val="center"/>
          </w:tcPr>
          <w:p>
            <w:pPr>
              <w:spacing w:after="0" w:line="240" w:lineRule="auto"/>
              <w:jc w:val="left"/>
            </w:pPr>
            <w:r>
              <w:rPr>
                <w:rFonts w:ascii="Aptos" w:hAnsi="Aptos" w:eastAsia="Aptos"/>
                <w:sz w:val="16"/>
              </w:rPr>
              <w:t>Ethereum USDC and Ethereum USDT</w:t>
            </w:r>
          </w:p>
        </w:tc>
      </w:tr>
      <w:tr>
        <w:trPr>
          <w:cantSplit/>
        </w:trPr>
        <w:tc>
          <w:tcPr>
            <w:tcW w:type="dxa" w:w="1296"/>
            <w:tcMar>
              <w:top w:w="72" w:type="dxa"/>
              <w:start w:w="90" w:type="dxa"/>
              <w:bottom w:w="72" w:type="dxa"/>
              <w:end w:w="90" w:type="dxa"/>
            </w:tcMar>
            <w:vAlign w:val="center"/>
            <w:shd w:fill="F3F7FA"/>
          </w:tcPr>
          <w:p>
            <w:pPr>
              <w:spacing w:after="0" w:line="240" w:lineRule="auto"/>
              <w:jc w:val="center"/>
            </w:pPr>
            <w:r>
              <w:rPr>
                <w:rFonts w:ascii="Aptos" w:hAnsi="Aptos" w:eastAsia="Aptos"/>
                <w:sz w:val="16"/>
              </w:rPr>
              <w:t>S2</w:t>
            </w:r>
          </w:p>
        </w:tc>
        <w:tc>
          <w:tcPr>
            <w:tcW w:type="dxa" w:w="158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1.3x</w:t>
            </w:r>
          </w:p>
        </w:tc>
        <w:tc>
          <w:tcPr>
            <w:tcW w:type="dxa" w:w="6768"/>
            <w:tcMar>
              <w:top w:w="72" w:type="dxa"/>
              <w:start w:w="90" w:type="dxa"/>
              <w:bottom w:w="72" w:type="dxa"/>
              <w:end w:w="90" w:type="dxa"/>
            </w:tcMar>
            <w:vAlign w:val="center"/>
            <w:shd w:fill="F3F7FA"/>
          </w:tcPr>
          <w:p>
            <w:pPr>
              <w:spacing w:after="0" w:line="240" w:lineRule="auto"/>
              <w:jc w:val="left"/>
            </w:pPr>
            <w:r>
              <w:rPr>
                <w:rFonts w:ascii="Aptos" w:hAnsi="Aptos" w:eastAsia="Aptos"/>
                <w:sz w:val="16"/>
              </w:rPr>
              <w:t>Native Ethereum ETH, native Bitcoin BTC, Ethereum AAVE, Ethereum LINK, Ethereum UNI</w:t>
            </w:r>
          </w:p>
        </w:tc>
      </w:tr>
      <w:tr>
        <w:trPr>
          <w:cantSplit/>
        </w:trPr>
        <w:tc>
          <w:tcPr>
            <w:tcW w:type="dxa" w:w="1296"/>
            <w:tcMar>
              <w:top w:w="72" w:type="dxa"/>
              <w:start w:w="90" w:type="dxa"/>
              <w:bottom w:w="72" w:type="dxa"/>
              <w:end w:w="90" w:type="dxa"/>
            </w:tcMar>
            <w:vAlign w:val="center"/>
          </w:tcPr>
          <w:p>
            <w:pPr>
              <w:spacing w:after="0" w:line="240" w:lineRule="auto"/>
              <w:jc w:val="center"/>
            </w:pPr>
            <w:r>
              <w:rPr>
                <w:rFonts w:ascii="Aptos" w:hAnsi="Aptos" w:eastAsia="Aptos"/>
                <w:sz w:val="16"/>
              </w:rPr>
              <w:t>S3</w:t>
            </w:r>
          </w:p>
        </w:tc>
        <w:tc>
          <w:tcPr>
            <w:tcW w:type="dxa" w:w="1584"/>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c>
          <w:tcPr>
            <w:tcW w:type="dxa" w:w="6768"/>
            <w:tcMar>
              <w:top w:w="72" w:type="dxa"/>
              <w:start w:w="90" w:type="dxa"/>
              <w:bottom w:w="72" w:type="dxa"/>
              <w:end w:w="90" w:type="dxa"/>
            </w:tcMar>
            <w:vAlign w:val="center"/>
          </w:tcPr>
          <w:p>
            <w:pPr>
              <w:spacing w:after="0" w:line="240" w:lineRule="auto"/>
              <w:jc w:val="left"/>
            </w:pPr>
            <w:r>
              <w:rPr>
                <w:rFonts w:ascii="Aptos" w:hAnsi="Aptos" w:eastAsia="Aptos"/>
                <w:sz w:val="16"/>
              </w:rPr>
              <w:t>Every other approved registry entry</w:t>
            </w:r>
          </w:p>
        </w:tc>
      </w:tr>
    </w:tbl>
    <w:p>
      <w:pPr>
        <w:spacing w:after="20"/>
      </w:pPr>
    </w:p>
    <w:p>
      <w:pPr>
        <w:pStyle w:val="Heading2"/>
      </w:pPr>
      <w:r>
        <w:t>A.3 Treasury Reward Stake Weight</w:t>
      </w:r>
    </w:p>
    <w:p>
      <w:pPr>
        <w:spacing w:before="80" w:after="140"/>
        <w:jc w:val="center"/>
      </w:pPr>
      <w:r>
        <w:rPr>
          <w:b/>
          <w:color w:val="18324B"/>
        </w:rPr>
        <w:t>Weight = staked amount x token multiplier x staking-duration multiplier</w:t>
      </w: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cantSplit/>
        </w:trPr>
        <w:tc>
          <w:tcPr>
            <w:tcW w:type="dxa" w:w="4824"/>
            <w:shd w:fill="18324B"/>
            <w:tcMar>
              <w:top w:w="72" w:type="dxa"/>
              <w:start w:w="90" w:type="dxa"/>
              <w:bottom w:w="72" w:type="dxa"/>
              <w:end w:w="90" w:type="dxa"/>
            </w:tcMar>
            <w:vAlign w:val="center"/>
          </w:tcPr>
          <w:p>
            <w:pPr>
              <w:spacing w:after="0"/>
              <w:jc w:val="center"/>
            </w:pPr>
            <w:r>
              <w:rPr>
                <w:rFonts w:ascii="Aptos" w:hAnsi="Aptos" w:eastAsia="Aptos"/>
                <w:b/>
                <w:color w:val="FFFFFF"/>
                <w:sz w:val="16"/>
              </w:rPr>
              <w:t>Token</w:t>
            </w:r>
          </w:p>
        </w:tc>
        <w:tc>
          <w:tcPr>
            <w:tcW w:type="dxa" w:w="4824"/>
            <w:shd w:fill="18324B"/>
            <w:tcMar>
              <w:top w:w="72" w:type="dxa"/>
              <w:start w:w="90" w:type="dxa"/>
              <w:bottom w:w="72" w:type="dxa"/>
              <w:end w:w="90" w:type="dxa"/>
            </w:tcMar>
            <w:vAlign w:val="center"/>
          </w:tcPr>
          <w:p>
            <w:pPr>
              <w:spacing w:after="0"/>
              <w:jc w:val="center"/>
            </w:pPr>
            <w:r>
              <w:rPr>
                <w:rFonts w:ascii="Aptos" w:hAnsi="Aptos" w:eastAsia="Aptos"/>
                <w:b/>
                <w:color w:val="FFFFFF"/>
                <w:sz w:val="16"/>
              </w:rPr>
              <w:t>Multiplier</w:t>
            </w:r>
          </w:p>
        </w:tc>
      </w:tr>
      <w:tr>
        <w:trPr>
          <w:cantSplit/>
        </w:trPr>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VCLM</w:t>
            </w:r>
          </w:p>
        </w:tc>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r>
      <w:tr>
        <w:trPr>
          <w:cantSplit/>
        </w:trPr>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CHONX</w:t>
            </w:r>
          </w:p>
        </w:tc>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2.0x</w:t>
            </w:r>
          </w:p>
        </w:tc>
      </w:tr>
      <w:tr>
        <w:trPr>
          <w:cantSplit/>
        </w:trPr>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SYNTH</w:t>
            </w:r>
          </w:p>
        </w:tc>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4.0x</w:t>
            </w:r>
          </w:p>
        </w:tc>
      </w:tr>
    </w:tbl>
    <w:p>
      <w:pPr>
        <w:spacing w:after="20"/>
      </w:pPr>
    </w:p>
    <w:tbl>
      <w:tblPr>
        <w:tblStyle w:val="TableGrid"/>
        <w:tblW w:type="dxa" w:w="9648"/>
        <w:jc w:val="left"/>
        <w:tblLayout w:type="fixed"/>
        <w:tblLook w:firstColumn="1" w:firstRow="1" w:lastColumn="0" w:lastRow="0" w:noHBand="0" w:noVBand="1" w:val="04A0"/>
        <w:tblInd w:w="120" w:type="dxa"/>
      </w:tblPr>
      <w:tblGrid>
        <w:gridCol w:w="4824"/>
        <w:gridCol w:w="4824"/>
      </w:tblGrid>
      <w:tr>
        <w:trPr>
          <w:tblHeader w:val="true"/>
          <w:cantSplit/>
        </w:trPr>
        <w:tc>
          <w:tcPr>
            <w:tcW w:type="dxa" w:w="4824"/>
            <w:shd w:fill="18324B"/>
            <w:tcMar>
              <w:top w:w="72" w:type="dxa"/>
              <w:start w:w="90" w:type="dxa"/>
              <w:bottom w:w="72" w:type="dxa"/>
              <w:end w:w="90" w:type="dxa"/>
            </w:tcMar>
            <w:vAlign w:val="center"/>
          </w:tcPr>
          <w:p>
            <w:pPr>
              <w:spacing w:after="0"/>
              <w:jc w:val="center"/>
            </w:pPr>
            <w:r>
              <w:rPr>
                <w:rFonts w:ascii="Aptos" w:hAnsi="Aptos" w:eastAsia="Aptos"/>
                <w:b/>
                <w:color w:val="FFFFFF"/>
                <w:sz w:val="16"/>
              </w:rPr>
              <w:t>Duration</w:t>
            </w:r>
          </w:p>
        </w:tc>
        <w:tc>
          <w:tcPr>
            <w:tcW w:type="dxa" w:w="4824"/>
            <w:shd w:fill="18324B"/>
            <w:tcMar>
              <w:top w:w="72" w:type="dxa"/>
              <w:start w:w="90" w:type="dxa"/>
              <w:bottom w:w="72" w:type="dxa"/>
              <w:end w:w="90" w:type="dxa"/>
            </w:tcMar>
            <w:vAlign w:val="center"/>
          </w:tcPr>
          <w:p>
            <w:pPr>
              <w:spacing w:after="0"/>
              <w:jc w:val="center"/>
            </w:pPr>
            <w:r>
              <w:rPr>
                <w:rFonts w:ascii="Aptos" w:hAnsi="Aptos" w:eastAsia="Aptos"/>
                <w:b/>
                <w:color w:val="FFFFFF"/>
                <w:sz w:val="16"/>
              </w:rPr>
              <w:t>Multiplier</w:t>
            </w:r>
          </w:p>
        </w:tc>
      </w:tr>
      <w:tr>
        <w:trPr>
          <w:cantSplit/>
        </w:trPr>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30 days</w:t>
            </w:r>
          </w:p>
        </w:tc>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1.0x</w:t>
            </w:r>
          </w:p>
        </w:tc>
      </w:tr>
      <w:tr>
        <w:trPr>
          <w:cantSplit/>
        </w:trPr>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60 days</w:t>
            </w:r>
          </w:p>
        </w:tc>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1.4x</w:t>
            </w:r>
          </w:p>
        </w:tc>
      </w:tr>
      <w:tr>
        <w:trPr>
          <w:cantSplit/>
        </w:trPr>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90 days</w:t>
            </w:r>
          </w:p>
        </w:tc>
        <w:tc>
          <w:tcPr>
            <w:tcW w:type="dxa" w:w="4824"/>
            <w:tcMar>
              <w:top w:w="72" w:type="dxa"/>
              <w:start w:w="90" w:type="dxa"/>
              <w:bottom w:w="72" w:type="dxa"/>
              <w:end w:w="90" w:type="dxa"/>
            </w:tcMar>
            <w:vAlign w:val="center"/>
          </w:tcPr>
          <w:p>
            <w:pPr>
              <w:spacing w:after="0" w:line="240" w:lineRule="auto"/>
              <w:jc w:val="center"/>
            </w:pPr>
            <w:r>
              <w:rPr>
                <w:rFonts w:ascii="Aptos" w:hAnsi="Aptos" w:eastAsia="Aptos"/>
                <w:sz w:val="16"/>
              </w:rPr>
              <w:t>1.75x</w:t>
            </w:r>
          </w:p>
        </w:tc>
      </w:tr>
      <w:tr>
        <w:trPr>
          <w:cantSplit/>
        </w:trPr>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120 days</w:t>
            </w:r>
          </w:p>
        </w:tc>
        <w:tc>
          <w:tcPr>
            <w:tcW w:type="dxa" w:w="4824"/>
            <w:tcMar>
              <w:top w:w="72" w:type="dxa"/>
              <w:start w:w="90" w:type="dxa"/>
              <w:bottom w:w="72" w:type="dxa"/>
              <w:end w:w="90" w:type="dxa"/>
            </w:tcMar>
            <w:vAlign w:val="center"/>
            <w:shd w:fill="F3F7FA"/>
          </w:tcPr>
          <w:p>
            <w:pPr>
              <w:spacing w:after="0" w:line="240" w:lineRule="auto"/>
              <w:jc w:val="center"/>
            </w:pPr>
            <w:r>
              <w:rPr>
                <w:rFonts w:ascii="Aptos" w:hAnsi="Aptos" w:eastAsia="Aptos"/>
                <w:sz w:val="16"/>
              </w:rPr>
              <w:t>2.0x</w:t>
            </w:r>
          </w:p>
        </w:tc>
      </w:tr>
    </w:tbl>
    <w:p>
      <w:pPr>
        <w:spacing w:after="20"/>
      </w:pPr>
    </w:p>
    <w:p>
      <w:pPr>
        <w:pStyle w:val="Heading2"/>
      </w:pPr>
      <w:r>
        <w:t>A.4 Fee Routing and Reward Accounting</w:t>
      </w:r>
    </w:p>
    <w:p>
      <w:pPr/>
      <w:r>
        <w:rPr>
          <w:i w:val="0"/>
        </w:rPr>
        <w:t>The Dev Fund receives 100% of the actual rounded Commitment Vault fee in the fee asset's original form. Commitment principal remains isolated in the Commitment Vault Lock. No fee is swapped, converted, bridged, or divided among destinations.</w:t>
      </w:r>
    </w:p>
    <w:p>
      <w:pPr>
        <w:spacing w:before="80" w:after="140"/>
        <w:jc w:val="center"/>
      </w:pPr>
      <w:r>
        <w:rPr>
          <w:b/>
          <w:color w:val="18324B"/>
        </w:rPr>
        <w:t>Reward-Accounting Credit = Verified USD Fee Value x 60%</w:t>
      </w:r>
    </w:p>
    <w:p>
      <w:pPr>
        <w:spacing w:before="80" w:after="140"/>
        <w:jc w:val="center"/>
      </w:pPr>
      <w:r>
        <w:rPr>
          <w:b/>
          <w:color w:val="18324B"/>
        </w:rPr>
        <w:t>Epoch Reward Basis = sum of Reward-Accounting Credits</w:t>
      </w:r>
    </w:p>
    <w:p>
      <w:pPr>
        <w:spacing w:before="80" w:after="140"/>
        <w:jc w:val="center"/>
      </w:pPr>
      <w:r>
        <w:rPr>
          <w:b/>
          <w:color w:val="18324B"/>
        </w:rPr>
        <w:t>Epoch Reward VCLM = Epoch Reward Basis / $0.10</w:t>
      </w:r>
    </w:p>
    <w:p>
      <w:pPr/>
      <w:r>
        <w:rPr>
          <w:i w:val="0"/>
        </w:rPr>
        <w:t>Reward-Accounting Credit is numerical state rather than an asset. When an epoch calculation and allocation are irreversibly recorded, every included credit becomes a Used Reward-Accounting Credit and cannot be used again.</w:t>
      </w:r>
    </w:p>
    <w:p>
      <w:pPr>
        <w:pStyle w:val="Heading2"/>
      </w:pPr>
      <w:r>
        <w:t>A.5 Lifetime capacity and cap rejection</w:t>
      </w:r>
    </w:p>
    <w:p>
      <w:pPr>
        <w:spacing w:before="80" w:after="140"/>
        <w:jc w:val="center"/>
      </w:pPr>
      <w:r>
        <w:rPr>
          <w:b/>
          <w:color w:val="18324B"/>
        </w:rPr>
        <w:t>Remaining lifetime capacity = hard cap - cumulative lifetime protocol issuance</w:t>
      </w:r>
    </w:p>
    <w:p>
      <w:pPr/>
      <w:r>
        <w:rPr>
          <w:i w:val="0"/>
        </w:rPr>
        <w:t>A calculated Commitment Vault output or complete epoch reward must fit within remaining capacity. Otherwise it is rejected in full. Burns and Axelar ITS transport do not restore lifetime capacity.</w:t>
      </w:r>
    </w:p>
    <w:p>
      <w:pPr>
        <w:pStyle w:val="Heading1"/>
      </w:pPr>
      <w:r>
        <w:t>Appendix B. Canonical Terminology</w:t>
      </w:r>
    </w:p>
    <w:p>
      <w:pPr>
        <w:pStyle w:val="Heading2"/>
      </w:pPr>
      <w:r>
        <w:t>B.1 Users, Commitment Vault Locks, and fees</w:t>
      </w:r>
    </w:p>
    <w:tbl>
      <w:tblPr>
        <w:tblStyle w:val="TableGrid"/>
        <w:tblW w:type="dxa" w:w="9648"/>
        <w:jc w:val="left"/>
        <w:tblLayout w:type="fixed"/>
        <w:tblLook w:firstColumn="1" w:firstRow="1" w:lastColumn="0" w:lastRow="0" w:noHBand="0" w:noVBand="1" w:val="04A0"/>
        <w:tblInd w:w="120" w:type="dxa"/>
      </w:tblPr>
      <w:tblGrid>
        <w:gridCol w:w="2376"/>
        <w:gridCol w:w="7272"/>
      </w:tblGrid>
      <w:tr>
        <w:trPr>
          <w:tblHeader w:val="true"/>
          <w:cantSplit/>
        </w:trPr>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Canonical term</w:t>
            </w:r>
          </w:p>
        </w:tc>
        <w:tc>
          <w:tcPr>
            <w:tcW w:type="dxa" w:w="7272"/>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meaning</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User</w:t>
            </w:r>
          </w:p>
        </w:tc>
        <w:tc>
          <w:tcPr>
            <w:tcW w:type="dxa" w:w="7272"/>
            <w:tcMar>
              <w:top w:w="72" w:type="dxa"/>
              <w:start w:w="90" w:type="dxa"/>
              <w:bottom w:w="72" w:type="dxa"/>
              <w:end w:w="90" w:type="dxa"/>
            </w:tcMar>
            <w:vAlign w:val="center"/>
          </w:tcPr>
          <w:p>
            <w:pPr>
              <w:spacing w:after="0" w:line="240" w:lineRule="auto"/>
              <w:jc w:val="left"/>
            </w:pPr>
            <w:r>
              <w:rPr>
                <w:rFonts w:ascii="Aptos" w:hAnsi="Aptos" w:eastAsia="Aptos"/>
                <w:sz w:val="15"/>
              </w:rPr>
              <w:t>A wallet-controlled actor using Vinculum Finalis. This is the universal protocol-actor term.</w:t>
            </w:r>
          </w:p>
        </w:tc>
      </w:tr>
      <w:tr>
        <w:trPr>
          <w:cantSplit/>
        </w:trPr>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Commitment Vault Lock</w:t>
            </w:r>
          </w:p>
        </w:tc>
        <w:tc>
          <w:tcPr>
            <w:tcW w:type="dxa" w:w="7272"/>
            <w:tcMar>
              <w:top w:w="72" w:type="dxa"/>
              <w:start w:w="90" w:type="dxa"/>
              <w:bottom w:w="72" w:type="dxa"/>
              <w:end w:w="90" w:type="dxa"/>
            </w:tcMar>
            <w:vAlign w:val="center"/>
            <w:shd w:fill="F3F7FA"/>
          </w:tcPr>
          <w:p>
            <w:pPr>
              <w:spacing w:after="0" w:line="240" w:lineRule="auto"/>
              <w:jc w:val="left"/>
            </w:pPr>
            <w:r>
              <w:rPr>
                <w:rFonts w:ascii="Aptos" w:hAnsi="Aptos" w:eastAsia="Aptos"/>
                <w:sz w:val="15"/>
              </w:rPr>
              <w:t>A non-renewable source-chain timelock of an approved external asset that authorizes exactly one selected VCLM or activated CHONX output after successful Base verification.</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Trust-Building Handshake</w:t>
            </w:r>
          </w:p>
        </w:tc>
        <w:tc>
          <w:tcPr>
            <w:tcW w:type="dxa" w:w="7272"/>
            <w:tcMar>
              <w:top w:w="72" w:type="dxa"/>
              <w:start w:w="90" w:type="dxa"/>
              <w:bottom w:w="72" w:type="dxa"/>
              <w:end w:w="90" w:type="dxa"/>
            </w:tcMar>
            <w:vAlign w:val="center"/>
          </w:tcPr>
          <w:p>
            <w:r/>
            <w:r>
              <w:rPr>
                <w:rFonts w:ascii="Aptos" w:hAnsi="Aptos" w:eastAsia="Aptos"/>
                <w:b w:val="0"/>
                <w:sz w:val="15"/>
              </w:rPr>
              <w:t>A one-hour Commitment Vault Lock from $0.95 through $1.05 inclusive, charging 2.50%, with an allowance of one or three successful qualifying uses per objectively bound source-chain identity according to the selected source mechanism's state capability.</w:t>
            </w:r>
          </w:p>
        </w:tc>
      </w:tr>
      <w:tr>
        <w:trPr>
          <w:cantSplit/>
        </w:trPr>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Verified Gross USD Value</w:t>
            </w:r>
          </w:p>
        </w:tc>
        <w:tc>
          <w:tcPr>
            <w:tcW w:type="dxa" w:w="7272"/>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accepted USD reference value of the complete gross asset amount used as the Commitment Vault issuance basis.</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Commitment Vault fee</w:t>
            </w:r>
          </w:p>
        </w:tc>
        <w:tc>
          <w:tcPr>
            <w:tcW w:type="dxa" w:w="7272"/>
            <w:tcMar>
              <w:top w:w="72" w:type="dxa"/>
              <w:start w:w="90" w:type="dxa"/>
              <w:bottom w:w="72" w:type="dxa"/>
              <w:end w:w="90" w:type="dxa"/>
            </w:tcMar>
            <w:vAlign w:val="center"/>
          </w:tcPr>
          <w:p>
            <w:pPr>
              <w:spacing w:after="0" w:line="240" w:lineRule="auto"/>
              <w:jc w:val="left"/>
            </w:pPr>
            <w:r>
              <w:rPr>
                <w:rFonts w:ascii="Aptos" w:hAnsi="Aptos" w:eastAsia="Aptos"/>
                <w:sz w:val="15"/>
              </w:rPr>
              <w:t>The actual rounded fee transferred separately to the fixed Dev Fund destination in the original asset.</w:t>
            </w:r>
          </w:p>
        </w:tc>
      </w:tr>
      <w:tr>
        <w:trPr>
          <w:cantSplit/>
        </w:trPr>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Commitment Vault principal</w:t>
            </w:r>
          </w:p>
        </w:tc>
        <w:tc>
          <w:tcPr>
            <w:tcW w:type="dxa" w:w="7272"/>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gross asset units remaining after the actual fee; held until maturity and released independently of Base systems.</w:t>
            </w:r>
          </w:p>
        </w:tc>
      </w:tr>
      <w:tr>
        <w:trPr>
          <w:cantSplit/>
        </w:trPr>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Original-form fee routing</w:t>
            </w:r>
          </w:p>
        </w:tc>
        <w:tc>
          <w:tcPr>
            <w:tcW w:type="dxa" w:w="7272"/>
            <w:tcMar>
              <w:top w:w="72" w:type="dxa"/>
              <w:start w:w="90" w:type="dxa"/>
              <w:bottom w:w="72" w:type="dxa"/>
              <w:end w:w="90" w:type="dxa"/>
            </w:tcMar>
            <w:vAlign w:val="center"/>
          </w:tcPr>
          <w:p>
            <w:pPr>
              <w:spacing w:after="0" w:line="240" w:lineRule="auto"/>
              <w:jc w:val="left"/>
            </w:pPr>
            <w:r>
              <w:rPr>
                <w:rFonts w:ascii="Aptos" w:hAnsi="Aptos" w:eastAsia="Aptos"/>
                <w:sz w:val="15"/>
              </w:rPr>
              <w:t>Transfer of 100% of the actual fee to the fixed Dev Fund destination in the same asset, with no swap, conversion, bridge, or division.</w:t>
            </w:r>
          </w:p>
        </w:tc>
      </w:tr>
      <w:tr>
        <w:trPr>
          <w:cantSplit/>
        </w:trPr>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Dev Fund</w:t>
            </w:r>
          </w:p>
        </w:tc>
        <w:tc>
          <w:tcPr>
            <w:tcW w:type="dxa" w:w="7272"/>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recipient of all actual Commitment Vault fee assets. It receives no Commitment Vault principal.</w:t>
            </w:r>
          </w:p>
        </w:tc>
      </w:tr>
      <w:tr>
        <w:trPr>
          <w:cantSplit/>
        </w:trPr>
        <w:tc>
          <w:tcPr>
            <w:tcW w:type="dxa" w:w="2376"/>
            <w:tcMar>
              <w:top w:w="72" w:type="dxa"/>
              <w:start w:w="90" w:type="dxa"/>
              <w:bottom w:w="72" w:type="dxa"/>
              <w:end w:w="90" w:type="dxa"/>
            </w:tcMar>
            <w:vAlign w:val="center"/>
          </w:tcPr>
          <w:p>
            <w:r/>
            <w:r>
              <w:rPr>
                <w:rFonts w:ascii="Aptos" w:hAnsi="Aptos" w:eastAsia="Aptos"/>
                <w:b w:val="0"/>
                <w:sz w:val="15"/>
              </w:rPr>
              <w:t>Handshake identity</w:t>
            </w:r>
          </w:p>
        </w:tc>
        <w:tc>
          <w:tcPr>
            <w:tcW w:type="dxa" w:w="7272"/>
            <w:tcMar>
              <w:top w:w="72" w:type="dxa"/>
              <w:start w:w="90" w:type="dxa"/>
              <w:bottom w:w="72" w:type="dxa"/>
              <w:end w:w="90" w:type="dxa"/>
            </w:tcMar>
            <w:vAlign w:val="center"/>
          </w:tcPr>
          <w:p>
            <w:r/>
            <w:r>
              <w:rPr>
                <w:rFonts w:ascii="Aptos" w:hAnsi="Aptos" w:eastAsia="Aptos"/>
                <w:b w:val="0"/>
                <w:sz w:val="15"/>
              </w:rPr>
              <w:t>The objectively recorded source-chain identity deterministically bound into recognized lock evidence: a source account for account-model mechanisms or one canonical release public key for UTXO-family mechanisms.</w:t>
            </w:r>
          </w:p>
        </w:tc>
      </w:tr>
      <w:tr>
        <w:trPr>
          <w:cantSplit/>
        </w:trPr>
        <w:tc>
          <w:tcPr>
            <w:tcW w:type="dxa" w:w="2376"/>
            <w:tcMar>
              <w:top w:w="72" w:type="dxa"/>
              <w:start w:w="90" w:type="dxa"/>
              <w:bottom w:w="72" w:type="dxa"/>
              <w:end w:w="90" w:type="dxa"/>
            </w:tcMar>
            <w:vAlign w:val="center"/>
          </w:tcPr>
          <w:p>
            <w:r/>
            <w:r>
              <w:rPr>
                <w:rFonts w:ascii="Aptos" w:hAnsi="Aptos" w:eastAsia="Aptos"/>
                <w:b w:val="0"/>
                <w:sz w:val="15"/>
              </w:rPr>
              <w:t>Canonical release public key</w:t>
            </w:r>
          </w:p>
        </w:tc>
        <w:tc>
          <w:tcPr>
            <w:tcW w:type="dxa" w:w="7272"/>
            <w:tcMar>
              <w:top w:w="72" w:type="dxa"/>
              <w:start w:w="90" w:type="dxa"/>
              <w:bottom w:w="72" w:type="dxa"/>
              <w:end w:w="90" w:type="dxa"/>
            </w:tcMar>
            <w:vAlign w:val="center"/>
          </w:tcPr>
          <w:p>
            <w:r/>
            <w:r>
              <w:rPr>
                <w:rFonts w:ascii="Aptos" w:hAnsi="Aptos" w:eastAsia="Aptos"/>
                <w:b w:val="0"/>
                <w:sz w:val="15"/>
              </w:rPr>
              <w:t>For a UTXO-family mechanism, the single canonically serialized public key authorizing the principal's maturity-release branch; it is the only UTXO Handshake identity and is proved against the output's script evidence.</w:t>
            </w:r>
          </w:p>
        </w:tc>
      </w:tr>
      <w:tr>
        <w:trPr>
          <w:cantSplit/>
        </w:trPr>
        <w:tc>
          <w:tcPr>
            <w:tcW w:type="dxa" w:w="2376"/>
            <w:tcMar>
              <w:top w:w="72" w:type="dxa"/>
              <w:start w:w="90" w:type="dxa"/>
              <w:bottom w:w="72" w:type="dxa"/>
              <w:end w:w="90" w:type="dxa"/>
            </w:tcMar>
            <w:vAlign w:val="center"/>
          </w:tcPr>
          <w:p>
            <w:r/>
            <w:r>
              <w:rPr>
                <w:rFonts w:ascii="Aptos" w:hAnsi="Aptos" w:eastAsia="Aptos"/>
                <w:b w:val="0"/>
                <w:sz w:val="15"/>
              </w:rPr>
              <w:t>Objectively pending Handshake attempt</w:t>
            </w:r>
          </w:p>
        </w:tc>
        <w:tc>
          <w:tcPr>
            <w:tcW w:type="dxa" w:w="7272"/>
            <w:tcMar>
              <w:top w:w="72" w:type="dxa"/>
              <w:start w:w="90" w:type="dxa"/>
              <w:bottom w:w="72" w:type="dxa"/>
              <w:end w:w="90" w:type="dxa"/>
            </w:tcMar>
            <w:vAlign w:val="center"/>
          </w:tcPr>
          <w:p>
            <w:r/>
            <w:r>
              <w:rPr>
                <w:rFonts w:ascii="Aptos" w:hAnsi="Aptos" w:eastAsia="Aptos"/>
                <w:b w:val="0"/>
                <w:sz w:val="15"/>
              </w:rPr>
              <w:t>An official Handshake submission that has neither reached a terminal source-chain disposition nor become objectively invalid. It does not clear through elapsed time, mempool disappearance, non-observation, or an application-local timer.</w:t>
            </w:r>
          </w:p>
        </w:tc>
      </w:tr>
    </w:tbl>
    <w:p>
      <w:pPr>
        <w:spacing w:after="20"/>
      </w:pPr>
    </w:p>
    <w:p>
      <w:pPr>
        <w:pStyle w:val="Heading2"/>
      </w:pPr>
      <w:r>
        <w:t>B.2 Price and reward accounting</w:t>
      </w:r>
    </w:p>
    <w:tbl>
      <w:tblPr>
        <w:tblStyle w:val="TableGrid"/>
        <w:tblW w:type="dxa" w:w="9648"/>
        <w:jc w:val="left"/>
        <w:tblLayout w:type="fixed"/>
        <w:tblLook w:firstColumn="1" w:firstRow="1" w:lastColumn="0" w:lastRow="0" w:noHBand="0" w:noVBand="1" w:val="04A0"/>
        <w:tblInd w:w="120" w:type="dxa"/>
      </w:tblPr>
      <w:tblGrid>
        <w:gridCol w:w="2664"/>
        <w:gridCol w:w="6984"/>
      </w:tblGrid>
      <w:tr>
        <w:trPr>
          <w:tblHeader w:val="true"/>
          <w:cantSplit/>
        </w:trPr>
        <w:tc>
          <w:tcPr>
            <w:tcW w:type="dxa" w:w="2664"/>
            <w:shd w:fill="18324B"/>
            <w:tcMar>
              <w:top w:w="72" w:type="dxa"/>
              <w:start w:w="90" w:type="dxa"/>
              <w:bottom w:w="72" w:type="dxa"/>
              <w:end w:w="90" w:type="dxa"/>
            </w:tcMar>
            <w:vAlign w:val="center"/>
          </w:tcPr>
          <w:p>
            <w:pPr>
              <w:spacing w:after="0"/>
              <w:jc w:val="left"/>
            </w:pPr>
            <w:r>
              <w:rPr>
                <w:rFonts w:ascii="Aptos" w:hAnsi="Aptos" w:eastAsia="Aptos"/>
                <w:b/>
                <w:color w:val="FFFFFF"/>
                <w:sz w:val="15"/>
              </w:rPr>
              <w:t>Canonical term</w:t>
            </w:r>
          </w:p>
        </w:tc>
        <w:tc>
          <w:tcPr>
            <w:tcW w:type="dxa" w:w="6984"/>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meaning</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Signed and batched price path</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The established method that carries the twice-daily first-valid-price record to Base.</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Verified USD Fee Value</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accepted USD valuation of the actual rounded Commitment Vault fee, using the same applicable price record as the gross value.</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Reward-Accounting Credit</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Numerical state equal to 60% of Verified USD Fee Value. It is not an asset or claim against Dev Fund assets.</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Epoch Reward Basis</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sum of Reward-Accounting Credits assigned to one 10-day epoch.</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Permanent Reward Reference Value</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The fixed $0.10 per VCLM value used only to convert Epoch Reward Basis into Epoch Reward VCLM.</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Epoch Reward VCLM</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The complete newly minted VCLM reward calculated for an epoch, subject to remaining lifetime capacity.</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Used Reward-Accounting Credit</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A credit included in an irreversibly recorded epoch calculation and allocation; it can never be used again.</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Fee-indexed reward issuance</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VCLM reward issuance calculated from fee activity without being funded, collateralized, or redeemable from Dev Fund assets.</w:t>
            </w:r>
          </w:p>
        </w:tc>
      </w:tr>
    </w:tbl>
    <w:p>
      <w:pPr>
        <w:spacing w:after="20"/>
      </w:pPr>
    </w:p>
    <w:p>
      <w:pPr>
        <w:pStyle w:val="Heading2"/>
      </w:pPr>
      <w:r>
        <w:t>B.3 Treasury Reward Stake</w:t>
      </w:r>
    </w:p>
    <w:tbl>
      <w:tblPr>
        <w:tblStyle w:val="TableGrid"/>
        <w:tblW w:type="dxa" w:w="9648"/>
        <w:jc w:val="left"/>
        <w:tblLayout w:type="fixed"/>
        <w:tblLook w:firstColumn="1" w:firstRow="1" w:lastColumn="0" w:lastRow="0" w:noHBand="0" w:noVBand="1" w:val="04A0"/>
        <w:tblInd w:w="120" w:type="dxa"/>
      </w:tblPr>
      <w:tblGrid>
        <w:gridCol w:w="2664"/>
        <w:gridCol w:w="6984"/>
      </w:tblGrid>
      <w:tr>
        <w:trPr>
          <w:tblHeader w:val="true"/>
          <w:cantSplit/>
        </w:trPr>
        <w:tc>
          <w:tcPr>
            <w:tcW w:type="dxa" w:w="2664"/>
            <w:shd w:fill="18324B"/>
            <w:tcMar>
              <w:top w:w="72" w:type="dxa"/>
              <w:start w:w="90" w:type="dxa"/>
              <w:bottom w:w="72" w:type="dxa"/>
              <w:end w:w="90" w:type="dxa"/>
            </w:tcMar>
            <w:vAlign w:val="center"/>
          </w:tcPr>
          <w:p>
            <w:pPr>
              <w:spacing w:after="0"/>
              <w:jc w:val="left"/>
            </w:pPr>
            <w:r>
              <w:rPr>
                <w:rFonts w:ascii="Aptos" w:hAnsi="Aptos" w:eastAsia="Aptos"/>
                <w:b/>
                <w:color w:val="FFFFFF"/>
                <w:sz w:val="15"/>
              </w:rPr>
              <w:t>Canonical term</w:t>
            </w:r>
          </w:p>
        </w:tc>
        <w:tc>
          <w:tcPr>
            <w:tcW w:type="dxa" w:w="6984"/>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meaning</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Treasury Reward Stake</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The protocol mechanism through which eligible VCLM, CHONX, and SYNTH positions earn newly minted VCLM.</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Treasury Reward Stake position</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One user-owned protocol-token position with one active fixed term and no more than one queued future term.</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Token multiplier</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VCLM 1.0x, CHONX 2.0x, or SYNTH 4.0x.</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Staking-duration multiplier</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30 days 1.0x, 60 days 1.4x, 90 days 1.75x, or 120 days 2.0x.</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Treasury Reward Stake Weight</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Staked amount multiplied by token multiplier and staking-duration multiplier.</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10-day epoch</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One fixed half-open reward-accounting interval measured from protocol launch.</w:t>
            </w:r>
          </w:p>
        </w:tc>
      </w:tr>
    </w:tbl>
    <w:p>
      <w:pPr>
        <w:spacing w:after="20"/>
      </w:pPr>
    </w:p>
    <w:p>
      <w:pPr>
        <w:pStyle w:val="Heading2"/>
      </w:pPr>
      <w:r>
        <w:t>B.4 Asset and interchain terminology</w:t>
      </w:r>
    </w:p>
    <w:tbl>
      <w:tblPr>
        <w:tblStyle w:val="TableGrid"/>
        <w:tblW w:type="dxa" w:w="9648"/>
        <w:jc w:val="left"/>
        <w:tblLayout w:type="fixed"/>
        <w:tblLook w:firstColumn="1" w:firstRow="1" w:lastColumn="0" w:lastRow="0" w:noHBand="0" w:noVBand="1" w:val="04A0"/>
        <w:tblInd w:w="120" w:type="dxa"/>
      </w:tblPr>
      <w:tblGrid>
        <w:gridCol w:w="2664"/>
        <w:gridCol w:w="6984"/>
      </w:tblGrid>
      <w:tr>
        <w:trPr>
          <w:tblHeader w:val="true"/>
          <w:cantSplit/>
        </w:trPr>
        <w:tc>
          <w:tcPr>
            <w:tcW w:type="dxa" w:w="2664"/>
            <w:shd w:fill="18324B"/>
            <w:tcMar>
              <w:top w:w="72" w:type="dxa"/>
              <w:start w:w="90" w:type="dxa"/>
              <w:bottom w:w="72" w:type="dxa"/>
              <w:end w:w="90" w:type="dxa"/>
            </w:tcMar>
            <w:vAlign w:val="center"/>
          </w:tcPr>
          <w:p>
            <w:pPr>
              <w:spacing w:after="0"/>
              <w:jc w:val="left"/>
            </w:pPr>
            <w:r>
              <w:rPr>
                <w:rFonts w:ascii="Aptos" w:hAnsi="Aptos" w:eastAsia="Aptos"/>
                <w:b/>
                <w:color w:val="FFFFFF"/>
                <w:sz w:val="15"/>
              </w:rPr>
              <w:t>Canonical term</w:t>
            </w:r>
          </w:p>
        </w:tc>
        <w:tc>
          <w:tcPr>
            <w:tcW w:type="dxa" w:w="6984"/>
            <w:shd w:fill="18324B"/>
            <w:tcMar>
              <w:top w:w="72" w:type="dxa"/>
              <w:start w:w="90" w:type="dxa"/>
              <w:bottom w:w="72" w:type="dxa"/>
              <w:end w:w="90" w:type="dxa"/>
            </w:tcMar>
            <w:vAlign w:val="center"/>
          </w:tcPr>
          <w:p>
            <w:pPr>
              <w:spacing w:after="0"/>
              <w:jc w:val="left"/>
            </w:pPr>
            <w:r>
              <w:rPr>
                <w:rFonts w:ascii="Aptos" w:hAnsi="Aptos" w:eastAsia="Aptos"/>
                <w:b/>
                <w:color w:val="FFFFFF"/>
                <w:sz w:val="15"/>
              </w:rPr>
              <w:t>Required meaning</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S1</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The two exact canonical Ethereum stablecoin identities, USDC and USDT, using a 1.5x Commitment Vault issuance multiplier.</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S2 - Selected Five Assets</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Native Ethereum ETH, native Bitcoin BTC, and canonical Ethereum AAVE, LINK, and UNI, using a 1.3x multiplier.</w:t>
            </w:r>
          </w:p>
        </w:tc>
      </w:tr>
      <w:tr>
        <w:trPr>
          <w:cantSplit/>
        </w:trPr>
        <w:tc>
          <w:tcPr>
            <w:tcW w:type="dxa" w:w="2664"/>
            <w:tcMar>
              <w:top w:w="72" w:type="dxa"/>
              <w:start w:w="90" w:type="dxa"/>
              <w:bottom w:w="72" w:type="dxa"/>
              <w:end w:w="90" w:type="dxa"/>
            </w:tcMar>
            <w:vAlign w:val="center"/>
          </w:tcPr>
          <w:p>
            <w:pPr>
              <w:spacing w:after="0" w:line="240" w:lineRule="auto"/>
              <w:jc w:val="left"/>
            </w:pPr>
            <w:r>
              <w:rPr>
                <w:rFonts w:ascii="Aptos" w:hAnsi="Aptos" w:eastAsia="Aptos"/>
                <w:sz w:val="15"/>
              </w:rPr>
              <w:t>S3</w:t>
            </w:r>
          </w:p>
        </w:tc>
        <w:tc>
          <w:tcPr>
            <w:tcW w:type="dxa" w:w="6984"/>
            <w:tcMar>
              <w:top w:w="72" w:type="dxa"/>
              <w:start w:w="90" w:type="dxa"/>
              <w:bottom w:w="72" w:type="dxa"/>
              <w:end w:w="90" w:type="dxa"/>
            </w:tcMar>
            <w:vAlign w:val="center"/>
          </w:tcPr>
          <w:p>
            <w:pPr>
              <w:spacing w:after="0" w:line="240" w:lineRule="auto"/>
              <w:jc w:val="left"/>
            </w:pPr>
            <w:r>
              <w:rPr>
                <w:rFonts w:ascii="Aptos" w:hAnsi="Aptos" w:eastAsia="Aptos"/>
                <w:sz w:val="15"/>
              </w:rPr>
              <w:t>Every other approved registry entry, using a 1.0x multiplier.</w:t>
            </w:r>
          </w:p>
        </w:tc>
      </w:tr>
      <w:tr>
        <w:trPr>
          <w:cantSplit/>
        </w:trPr>
        <w:tc>
          <w:tcPr>
            <w:tcW w:type="dxa" w:w="2664"/>
            <w:tcMar>
              <w:top w:w="72" w:type="dxa"/>
              <w:start w:w="90" w:type="dxa"/>
              <w:bottom w:w="72" w:type="dxa"/>
              <w:end w:w="90" w:type="dxa"/>
            </w:tcMar>
            <w:vAlign w:val="center"/>
            <w:shd w:fill="F3F7FA"/>
          </w:tcPr>
          <w:p>
            <w:pPr>
              <w:spacing w:after="0" w:line="240" w:lineRule="auto"/>
              <w:jc w:val="left"/>
            </w:pPr>
            <w:r>
              <w:rPr>
                <w:rFonts w:ascii="Aptos" w:hAnsi="Aptos" w:eastAsia="Aptos"/>
                <w:sz w:val="15"/>
              </w:rPr>
              <w:t>Axelar ITS protocol token</w:t>
            </w:r>
          </w:p>
        </w:tc>
        <w:tc>
          <w:tcPr>
            <w:tcW w:type="dxa" w:w="6984"/>
            <w:tcMar>
              <w:top w:w="72" w:type="dxa"/>
              <w:start w:w="90" w:type="dxa"/>
              <w:bottom w:w="72" w:type="dxa"/>
              <w:end w:w="90" w:type="dxa"/>
            </w:tcMar>
            <w:vAlign w:val="center"/>
            <w:shd w:fill="F3F7FA"/>
          </w:tcPr>
          <w:p>
            <w:pPr>
              <w:spacing w:after="0" w:line="240" w:lineRule="auto"/>
              <w:jc w:val="left"/>
            </w:pPr>
            <w:r>
              <w:rPr>
                <w:rFonts w:ascii="Aptos" w:hAnsi="Aptos" w:eastAsia="Aptos"/>
                <w:sz w:val="15"/>
              </w:rPr>
              <w:t>VCLM, CHONX, or SYNTH managed through Axelar Interchain Token Service, with Base as the canonical issuance and accounting blockchain and one globally reconciled supply.</w:t>
            </w:r>
          </w:p>
        </w:tc>
      </w:tr>
    </w:tbl>
    <w:p>
      <w:pPr>
        <w:spacing w:after="20"/>
      </w:pPr>
    </w:p>
    <w:p>
      <w:pPr>
        <w:pStyle w:val="Heading2"/>
      </w:pPr>
      <w:r>
        <w:t>B.5 Required formula language</w:t>
      </w:r>
    </w:p>
    <w:p>
      <w:pPr>
        <w:spacing w:before="80" w:after="140"/>
        <w:jc w:val="center"/>
      </w:pPr>
      <w:r>
        <w:rPr>
          <w:b/>
          <w:color w:val="18324B"/>
        </w:rPr>
        <w:t>Commitment output = Verified Gross USD Value x emission rate x asset multiplier x duration multiplier</w:t>
      </w:r>
    </w:p>
    <w:p>
      <w:pPr>
        <w:spacing w:before="80" w:after="140"/>
        <w:jc w:val="center"/>
      </w:pPr>
      <w:r>
        <w:rPr>
          <w:b/>
          <w:color w:val="18324B"/>
        </w:rPr>
        <w:t>Reward-Accounting Credit = Verified USD Fee Value x 60%</w:t>
      </w:r>
    </w:p>
    <w:p>
      <w:pPr>
        <w:spacing w:before="80" w:after="140"/>
        <w:jc w:val="center"/>
      </w:pPr>
      <w:r>
        <w:rPr>
          <w:b/>
          <w:color w:val="18324B"/>
        </w:rPr>
        <w:t>Epoch Reward Basis = sum of Reward-Accounting Credits</w:t>
      </w:r>
    </w:p>
    <w:p>
      <w:pPr>
        <w:spacing w:before="80" w:after="140"/>
        <w:jc w:val="center"/>
      </w:pPr>
      <w:r>
        <w:rPr>
          <w:b/>
          <w:color w:val="18324B"/>
        </w:rPr>
        <w:t>Epoch Reward VCLM = Epoch Reward Basis / $0.10</w:t>
      </w:r>
    </w:p>
    <w:p>
      <w:pPr>
        <w:spacing w:before="80" w:after="140"/>
        <w:jc w:val="center"/>
      </w:pPr>
      <w:r>
        <w:rPr>
          <w:b/>
          <w:color w:val="18324B"/>
        </w:rPr>
        <w:t>Treasury Reward Stake Weight = staked amount x token multiplier x staking-duration multiplier</w:t>
      </w:r>
    </w:p>
    <w:p>
      <w:pPr>
        <w:pStyle w:val="Heading2"/>
      </w:pPr>
      <w:r>
        <w:t>B.6 Terminology and interpretations that are not current behavior</w:t>
      </w:r>
    </w:p>
    <w:p>
      <w:pPr>
        <w:pStyle w:val="ListBullet"/>
        <w:keepNext/>
      </w:pPr>
      <w:r>
        <w:rPr>
          <w:i w:val="0"/>
        </w:rPr>
        <w:t>A fee-asset split between the Dev Fund and another destination.</w:t>
      </w:r>
    </w:p>
    <w:p>
      <w:pPr>
        <w:pStyle w:val="ListBullet"/>
        <w:keepNext/>
      </w:pPr>
      <w:r>
        <w:rPr>
          <w:i w:val="0"/>
        </w:rPr>
        <w:t>A protocol treasury or reserve that receives or holds Commitment Vault fee assets.</w:t>
      </w:r>
    </w:p>
    <w:p>
      <w:pPr>
        <w:pStyle w:val="ListBullet"/>
        <w:keepNext/>
      </w:pPr>
      <w:r>
        <w:rPr>
          <w:i w:val="0"/>
        </w:rPr>
        <w:t>Fee conversion, fee swapping, or preferred-stable routing.</w:t>
      </w:r>
    </w:p>
    <w:p>
      <w:pPr>
        <w:pStyle w:val="ListBullet"/>
        <w:keepNext/>
      </w:pPr>
      <w:r>
        <w:rPr>
          <w:i w:val="0"/>
        </w:rPr>
        <w:t>A dual-output or dual-path Commitment Vault Lock.</w:t>
      </w:r>
    </w:p>
    <w:p>
      <w:pPr>
        <w:pStyle w:val="ListBullet"/>
        <w:keepNext/>
      </w:pPr>
      <w:r>
        <w:rPr>
          <w:i w:val="0"/>
        </w:rPr>
        <w:t>A governance stake or governance-derived reward mechanism.</w:t>
      </w:r>
    </w:p>
    <w:p>
      <w:pPr>
        <w:pStyle w:val="ListBullet"/>
        <w:keepNext/>
      </w:pPr>
      <w:r>
        <w:rPr>
          <w:i w:val="0"/>
        </w:rPr>
        <w:t>A generic collective-container label used in place of Treasury Reward Stake.</w:t>
      </w:r>
    </w:p>
    <w:p>
      <w:pPr>
        <w:pStyle w:val="ListBullet"/>
        <w:keepNext/>
      </w:pPr>
      <w:r>
        <w:t>A universal one-use or universal three-use Handshake allowance that ignores the selected source mechanism's state capability, a $100 Handshake ceiling, or a later one-hour path charging 5.00%.</w:t>
      </w:r>
    </w:p>
    <w:p>
      <w:pPr>
        <w:pStyle w:val="ListBullet"/>
        <w:keepNext/>
      </w:pPr>
      <w:r>
        <w:rPr>
          <w:i w:val="0"/>
        </w:rPr>
        <w:t>A price-consensus, source-spread, lower-median, or 10-minute-freshness requirement.</w:t>
      </w:r>
    </w:p>
    <w:p>
      <w:pPr>
        <w:pStyle w:val="ListBullet"/>
      </w:pPr>
      <w:r>
        <w:rPr>
          <w:i w:val="0"/>
        </w:rPr>
        <w:t>An independent per-chain VCLM, CHONX, or SYNTH supply.</w:t>
      </w:r>
    </w:p>
    <w:p>
      <w:pPr>
        <w:sectPr>
          <w:headerReference w:type="default" r:id="rId8"/>
          <w:footerReference w:type="default" r:id="rId9"/>
          <w:pgSz w:w="12240" w:h="15840"/>
          <w:pgMar w:top="1037" w:right="1181" w:bottom="1037" w:left="1181" w:header="432" w:footer="432" w:gutter="0"/>
          <w:cols w:space="720"/>
          <w:docGrid w:linePitch="360"/>
        </w:sectPr>
      </w:pPr>
    </w:p>
    <w:p>
      <w:pPr>
        <w:pStyle w:val="Heading1"/>
      </w:pPr>
      <w:r>
        <w:t>Appendix C. Complete Approved Asset Registry</w:t>
      </w:r>
    </w:p>
    <w:p>
      <w:pPr/>
      <w:r>
        <w:t>This appendix is the governing registry dataset and incorporates all 1,001 approved entries in registry-row order. Registry Row is a document reference, not a market ranking. Dynamic prices, volumes, and update times are intentionally excluded. Machine-readable representations conform through exact field-level equality under VF-REG-011; filename, whitespace, object-key order, and formatting are not protocol behavior.</w:t>
      </w:r>
    </w:p>
    <w:tbl>
      <w:tblPr>
        <w:tblStyle w:val="TableGrid"/>
        <w:tblW w:type="dxa" w:w="13938"/>
        <w:jc w:val="left"/>
        <w:tblLayout w:type="fixed"/>
        <w:tblLook w:firstColumn="1" w:firstRow="1" w:lastColumn="0" w:lastRow="0" w:noHBand="0" w:noVBand="1" w:val="04A0"/>
        <w:tblInd w:w="120" w:type="dxa"/>
      </w:tblPr>
      <w:tblGrid>
        <w:gridCol w:w="835"/>
        <w:gridCol w:w="1123"/>
        <w:gridCol w:w="2563"/>
        <w:gridCol w:w="1555"/>
        <w:gridCol w:w="5011"/>
        <w:gridCol w:w="720"/>
        <w:gridCol w:w="2131"/>
      </w:tblGrid>
      <w:tr>
        <w:trPr>
          <w:tblHeader w:val="true"/>
          <w:cantSplit/>
        </w:trPr>
        <w:tc>
          <w:tcPr>
            <w:tcW w:type="dxa" w:w="835"/>
            <w:shd w:fill="18324B"/>
            <w:tcMar>
              <w:top w:w="72" w:type="dxa"/>
              <w:start w:w="90" w:type="dxa"/>
              <w:bottom w:w="72" w:type="dxa"/>
              <w:end w:w="90" w:type="dxa"/>
            </w:tcMar>
            <w:vAlign w:val="center"/>
          </w:tcPr>
          <w:p>
            <w:pPr>
              <w:spacing w:after="0"/>
              <w:jc w:val="center"/>
            </w:pPr>
            <w:r>
              <w:rPr>
                <w:rFonts w:ascii="Aptos" w:hAnsi="Aptos" w:eastAsia="Aptos"/>
                <w:b/>
                <w:color w:val="FFFFFF"/>
                <w:sz w:val="13"/>
              </w:rPr>
              <w:t>Registry Row</w:t>
            </w:r>
          </w:p>
        </w:tc>
        <w:tc>
          <w:tcPr>
            <w:tcW w:type="dxa" w:w="1123"/>
            <w:shd w:fill="18324B"/>
            <w:tcMar>
              <w:top w:w="72" w:type="dxa"/>
              <w:start w:w="90" w:type="dxa"/>
              <w:bottom w:w="72" w:type="dxa"/>
              <w:end w:w="90" w:type="dxa"/>
            </w:tcMar>
            <w:vAlign w:val="center"/>
          </w:tcPr>
          <w:p>
            <w:pPr>
              <w:spacing w:after="0"/>
              <w:jc w:val="left"/>
            </w:pPr>
            <w:r>
              <w:rPr>
                <w:rFonts w:ascii="Aptos" w:hAnsi="Aptos" w:eastAsia="Aptos"/>
                <w:b/>
                <w:color w:val="FFFFFF"/>
                <w:sz w:val="13"/>
              </w:rPr>
              <w:t>Symbol</w:t>
            </w:r>
          </w:p>
        </w:tc>
        <w:tc>
          <w:tcPr>
            <w:tcW w:type="dxa" w:w="2563"/>
            <w:shd w:fill="18324B"/>
            <w:tcMar>
              <w:top w:w="72" w:type="dxa"/>
              <w:start w:w="90" w:type="dxa"/>
              <w:bottom w:w="72" w:type="dxa"/>
              <w:end w:w="90" w:type="dxa"/>
            </w:tcMar>
            <w:vAlign w:val="center"/>
          </w:tcPr>
          <w:p>
            <w:pPr>
              <w:spacing w:after="0"/>
              <w:jc w:val="left"/>
            </w:pPr>
            <w:r>
              <w:rPr>
                <w:rFonts w:ascii="Aptos" w:hAnsi="Aptos" w:eastAsia="Aptos"/>
                <w:b/>
                <w:color w:val="FFFFFF"/>
                <w:sz w:val="13"/>
              </w:rPr>
              <w:t>Asset name</w:t>
            </w:r>
          </w:p>
        </w:tc>
        <w:tc>
          <w:tcPr>
            <w:tcW w:type="dxa" w:w="1555"/>
            <w:shd w:fill="18324B"/>
            <w:tcMar>
              <w:top w:w="72" w:type="dxa"/>
              <w:start w:w="90" w:type="dxa"/>
              <w:bottom w:w="72" w:type="dxa"/>
              <w:end w:w="90" w:type="dxa"/>
            </w:tcMar>
            <w:vAlign w:val="center"/>
          </w:tcPr>
          <w:p>
            <w:pPr>
              <w:spacing w:after="0"/>
              <w:jc w:val="left"/>
            </w:pPr>
            <w:r>
              <w:rPr>
                <w:rFonts w:ascii="Aptos" w:hAnsi="Aptos" w:eastAsia="Aptos"/>
                <w:b/>
                <w:color w:val="FFFFFF"/>
                <w:sz w:val="13"/>
              </w:rPr>
              <w:t>Environment</w:t>
            </w:r>
          </w:p>
        </w:tc>
        <w:tc>
          <w:tcPr>
            <w:tcW w:type="dxa" w:w="5011"/>
            <w:shd w:fill="18324B"/>
            <w:tcMar>
              <w:top w:w="72" w:type="dxa"/>
              <w:start w:w="90" w:type="dxa"/>
              <w:bottom w:w="72" w:type="dxa"/>
              <w:end w:w="90" w:type="dxa"/>
            </w:tcMar>
            <w:vAlign w:val="center"/>
          </w:tcPr>
          <w:p>
            <w:pPr>
              <w:spacing w:after="0"/>
              <w:jc w:val="left"/>
            </w:pPr>
            <w:r>
              <w:rPr>
                <w:rFonts w:ascii="Aptos" w:hAnsi="Aptos" w:eastAsia="Aptos"/>
                <w:b/>
                <w:color w:val="FFFFFF"/>
                <w:sz w:val="13"/>
              </w:rPr>
              <w:t>Contract or native identifier</w:t>
            </w:r>
          </w:p>
        </w:tc>
        <w:tc>
          <w:tcPr>
            <w:tcW w:type="dxa" w:w="720"/>
            <w:shd w:fill="18324B"/>
            <w:tcMar>
              <w:top w:w="72" w:type="dxa"/>
              <w:start w:w="90" w:type="dxa"/>
              <w:bottom w:w="72" w:type="dxa"/>
              <w:end w:w="90" w:type="dxa"/>
            </w:tcMar>
            <w:vAlign w:val="center"/>
          </w:tcPr>
          <w:p>
            <w:pPr>
              <w:spacing w:after="0"/>
              <w:jc w:val="center"/>
            </w:pPr>
            <w:r>
              <w:rPr>
                <w:rFonts w:ascii="Aptos" w:hAnsi="Aptos" w:eastAsia="Aptos"/>
                <w:b/>
                <w:color w:val="FFFFFF"/>
                <w:sz w:val="13"/>
              </w:rPr>
              <w:t>Class</w:t>
            </w:r>
          </w:p>
        </w:tc>
        <w:tc>
          <w:tcPr>
            <w:tcW w:type="dxa" w:w="2131"/>
            <w:shd w:fill="18324B"/>
            <w:tcMar>
              <w:top w:w="72" w:type="dxa"/>
              <w:start w:w="90" w:type="dxa"/>
              <w:bottom w:w="72" w:type="dxa"/>
              <w:end w:w="90" w:type="dxa"/>
            </w:tcMar>
            <w:vAlign w:val="center"/>
          </w:tcPr>
          <w:p>
            <w:pPr>
              <w:spacing w:after="0"/>
              <w:jc w:val="left"/>
            </w:pPr>
            <w:r>
              <w:rPr>
                <w:rFonts w:ascii="Aptos" w:hAnsi="Aptos" w:eastAsia="Aptos"/>
                <w:b/>
                <w:color w:val="FFFFFF"/>
                <w:sz w:val="13"/>
              </w:rPr>
              <w:t>Pricing identifier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 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0xA0b86991c6218b36c1d19D4a2e9Eb0cE3606eB48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S1</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ETH; pricing reference WETH:0xC02aaA39b223FE8D0A0e5C4F27eAD9083C756Cc2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S2</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Bitcoin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Bitcoin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S2</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Dogecoin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NATIVE (So11111111111111111111111111111111111111112 wrapped)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Tether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0xdAC17F958D2ee523a2206206994597C13D831ec7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S1</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Wrapped Bitcoin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0x2260FAC5E5542a773Aa44fBCfeDf7C193bc2C599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LINK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Chainlink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0x514910771AF9Ca656af840dff83E8264EcF986CA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S2</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Lido Staked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0xae7ab96520DE3A18E5e111B5EaAb095312D7fE84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staked-ether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0x6B175474E89094C44Da98b954EedeAC495271d0F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USDC_ARB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USDC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0xFF970A61A04b1cA14834A43f5dE4533eBDDB5CC8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XRP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XRP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XRP Ledger</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ripple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UNI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0x1f9840a85d5aF5bf1D1762F925BDADdC4201F984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S2</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0x7Fc66500c84A76Ad7e9c93437bFc5Ac33E2DDaE9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S2</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LDO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Lido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0x5A98FcBEA516Cf06857215779Fd812CA3beF1B32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lido-dao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USDC_SOL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 on Solana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EPjFWdd5AufqSSqeM2qN1xzybapC8G4wEGGkZwyTDt1v</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SHIB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Shiba Inu</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0x95aD61b0a150d79219dCF64E1E6Cc01f0B64C4cE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shiba-inu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0x0000000000000000000000000000000000000000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Litecoin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Litecoin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litecoin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USDT_ARB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USDT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0xFd086bC7CD5C481DCC9C85ebE478A1C0b69FCbb9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PEPE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Pepe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0x6982508145454Ce325dDbE47a25d4ec3d2311933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pepe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0x912CE59144191C1204E64559FE8253a0e49E6548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AVAX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0x0000000000000000000000000000000000000000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avalanche-2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wstETH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Lido stETH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0x7f39C581F595B53c5cb19bD0b3f8dA6c935E2Ca0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wrapped-steth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CBETH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Coinbase Wrapped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0x2Ae3F1Ec7F1F5012CFEab0185bfc7aa3cf0DEc22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coinbase-wrapped-staked-eth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0x4200000000000000000000000000000000000042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SKY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Sky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0x56072C95FAA701256059aa122697B133aDEd9279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sky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CBBTC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Coinbase BTC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0xcbB7C0000aB88B473b1f5aFd9ef808440eed33Bf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coinbase-wrapped-btc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Sky Dollar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0xdC035D45d973E3EC169d2276DDab16f1e407384F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BONK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BONK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DezXAZ8z7PnrnRJjz3wXBoRgixCa6xjnB7YaB1pPB263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bonk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PENGU</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Pudgy Penguins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2zMMhcVQEXDtdE6vsFS7S7D5oUodfJHE8vd1gnBouauv</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pudgy-penguins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MKR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Maker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0x9f8F72aA9304c8B593d555F12eF6589cC3A579A2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maker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WIF</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Dogwifhat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EKpQGSJtjMFqKZ9KQanSqYXRcF8fBopzLHYxdM65zcjm</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dogwifcoin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AERO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Aerodrome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0x940181a94A35A4569E4529A3CDfB74e38FD98631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aerodrome-finance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GRT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The Graph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0xc944E90C64B2c07662A292be6244BDf05Cda44a7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the-graph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ENS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ENS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0xC18360217D8F7Ab5e7c516566761Ea12Ce7F9D72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ethereum-name-service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PAXG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Pax Gold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0x45804880De22913dAFE09f4980848ECE6EcbAf78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pax-gold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WBTC_ARB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WBTC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0x2f2a2543B76A4166549F7aaB2e75Bef0aefC5B0f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wrapped-bitcoin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USDC_OP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USDC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0x7F5c764cBc14f9669B88837ca1490cCa17c31607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USDC_POL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 (Polygon)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0x2791Bca1f2de4661ED88A30C99A7a9449Aa84174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USDC_BSC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USDC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0x8AC76a51cc950d9822D68b83fE1Ad97B32Cd580d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USDC_AVAX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 (Avalanche)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0xB97EF9Ef8734C71904D8002F8b6Bc66Dd9c48a6E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LINK_ARB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LINK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0xf97f4df75117a78c1A5a0DBb814Af92458539FB4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0xDA10009cBd5D07dd0CeCc66161FC93D7c9000da1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cbBTC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Coinbase BTC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0xcbB7C0000aB88B473b1f5aFd9ef808440eed33Bf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coinbase-wrapped-btc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IMX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Immutable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0xF57e7e7C23978C3cAEC3C3548E3D615c346e79fF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immutable-x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PENDLE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Pendle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0x808507121B80c02388fAd14726482e061B8da827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pendle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EIGEN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EigenLayer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0xec53bF9167f50cDEB3Ae105f56099aaaB9061F83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eigenlayer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USDT_POL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USDT (Polygon)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0xc2132D05D31c914a87C6611C10748AEb04B58e8F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USDT_BSC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USDT (BSC)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0x55d398326f99059fF775485246999027B3197955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GMX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GMX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0xfc5A1A6EB076a2C7aD06eD22C90d7E710E35ad0a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gmx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 (old)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0x7D1AfA7B718fb893dB30A3aBc0Cfc608AaCfeBB0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RNDR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Render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0x6De037ef9aD2725EB40118Bb1702EBb27e4Aeb24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render-token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Bitcoin Cash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Bitcoin Cash</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bitcoin-cash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SNX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Synthetix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0xC011a73ee8576Fb46F5E1c5751cA3B9Fe0af2a6F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havven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Curve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0xD533a949740bb3306d119CC777fa900bA034cd52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curve-dao-token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1INCH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1inch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0x111111111117dC0aa78b770fA6A738034120C302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1inch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RPL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Rocket Pool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0xD33526068D116cE69F19A9ee46F0bd304F21A51f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rocket-pool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Rocket Pool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0xae78736Cd615f374D3085123A210448E74Fc6393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rocket-pool-eth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ENA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Ethena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0x57e114B691Db790C35207b2e685D4A43181e6061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ethena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RON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Ronin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0xEf7768Af3C0BcFcb37BcF7d0d6a5e72b9DE36F5F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ronin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CAKE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PancakeSwap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0x0E09FaBB73Bd3Ade0a17ECC321fD13a19e81cE82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pancakeswap-token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CHZ</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Chiliz</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0x3506424F91fD33084466F402d5D97f05F8e3b4AF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chiliz</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FET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Fetch.ai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0xaea46A60368A7bD060eec7DF8CBa43b7EF41Ad85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fetch-ai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Ethena USDe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0x4c9EDD5852cd905f086C759E8383e09bff1E68B3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ethena-usde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ONDO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Ondo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0xfAbA6f8e4a5E8Ab82F62fe7C39859FA577269BE3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ondo-finance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OKB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OKB</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0x75231F58b43240C9718Dd58B4967c5114342a86c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okb</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GHO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GHO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0x40D16FC0246aD3160Ccc09B8D0D3A2cD28aE6C2f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gho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COMP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Compound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0xc00e94Cb662C3520282E6f5717214004A7f26888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compound-governance-token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CBBTC_ETH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cbBTC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0xcbB7C0000aB88B473b1f5aFd9ef808440eed33Bf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coinbase-wrapped-btc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FLOKI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Floki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0xcf0C122c6b73ff809C693DB761e7BaeBe62b6a2E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floki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PYTH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Pyth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HZ1JovNiVvGrGNiiYvEozEVgZ58xaU3RKwX8eACQBCt3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pyth-network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VIRTUAL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Virtuals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0x0b3e328455c4059EEb9e3f84b5543F74E24e7E1b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virtual-protocol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BLUR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Blur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0x5283D291DBCF85356A21bA090E6db59121208b44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blur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BRETT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Brett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0x532f27101965dd16442E59d40670FaF5eBB142E4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brett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PSG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PSG Fan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0x8A953CfE442c5E8855cc6c61b1293FA648BAE472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paris-saint-germain-fan-token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Barcelona Fan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0x340D2bdE5Eb28c1eed91B2f790723E3B160613B7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fc-barcelona-fan-token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JTO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Jito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jtojtomepa8beP8AuQc6eXt5FriJwfFMwQx2v2f9mCL</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jito-governance-token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JUP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Jupiter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JUPyiwrYJFskUPiHa7hkeR8VUtAeFoSYbKedZNsDvCN</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jupiter-exchange-solana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Raydium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4k3Dyjzvzp8eMZWUXbBCjEvwSkkk59S5iCNLY3QrkX6R</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raydium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PYUSD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PayPal 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0x6c3ea9036406852006290770BEdFcAbA0e23A0e8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paypal-usd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0xba5DdD1f9d7F570dc94a51479a000E3BCE967196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AAVE_OP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0x76FB31fb4af56892A25e32cFC43De717950c9278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AAVE_POL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(Polygon)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0xD6DF932A45C0f255f85145f286eA0b292B21C90B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UNI_ARB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0xFa7F8980b0f1E64A2062791cc3b0871572f1F7f0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UNI_OP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 (Optimism)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0x6fd9d7AD17242c41f7131d257212c54A0e816691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uniswap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WBTC_OP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WBTC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0x68f180fcCe6836688e9084f035309E29Bf0A2095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WBTC_POL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WBTC (Polygon)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0x1BFD67037B42Cf73acF2047067bd4F2C47D9BfD6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wrapped-bitcoin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DAI_OP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DAI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0xDA10009cBd5D07dd0CeCc66161FC93D7c9000da1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DAI_POL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 (Polygon)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0x8f3Cf7ad23Cd3CaDbD9735AFf958023239c6A063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LINK_POL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LINK (Polygon)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0x53E0bca35eC356BD5ddDFebbD1Fc0fD03FaBad39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LINK_BSC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LINK (BSC)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0xF8A0BF9cF54Bb92F17374d9e9A321E6a111a51bD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LINK_AVAX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LINK (Avax)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0x5947BB275c521040051D82396192181b413227A3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AAVE_AVAX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0x63a72806098Bd3D9520cC43356dD78afe5D386D9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Balancer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0xba100000625a3754423978a60c9317c58a424e3D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balancer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DAI_BSC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 (BSC)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0x1AF3F329e8BE154074D8769D1FFa4eE058B1DBc3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SPX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SPX6900</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0xE0f63A424a4439cBE457D80E4f4b51aD25b2c56C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spx6900</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WLD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Worldcoin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0x163f8C2467924be0ae7B5347228CABF260318753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worldcoin-wld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DEGEN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Degen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0x4ed4E862860beD51a9570b96d89aF5E1B0Efefed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degen-base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DGB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DigiByte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DigiByte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digibyte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Basic Attention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0x0D8775F648430679A709E98d2b0Cb6250d2887EF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basic-attention-token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Liquity LUSD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0x5f98805A4E8be255a32880FDeC7F6728C6568bA0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liquity-usd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PENDLE_ARB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Pendle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0x0c880f6761F1af8d9Aa9C466984b80DAb9a8c9e8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pendle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RNDR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Render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0x6De037ef9aD2725EB40118Bb1702EBb27e4Aeb24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render-token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POPCAT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Popcat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7GCihgDB8fe6KNjn2MYtkzZcRjQy3t9GHdC8uHYmW2hr</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popcat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FARTCOIN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Fartcoin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9BB6NFEcjBCtnNLFko2FqVQBq8HHM13kCyYcdQbgpump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fartcoin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MEW</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Cat in a Dogs World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MEW1gQWJ3nEXg2qgERiKu7FAFj79PHvQVREQUzScPP5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cat-in-a-dogs-world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COW</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CoW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0xDEf1CA1fb7FBcDC777520aa7f396b4E015F497aB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cow-protocol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MNT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Mantle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0x3c3a81e81dc49A522A592e7622A7E711c06bf354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mantle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STRK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Starknet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0xCa14007Eff0dB1f8135f4C25B34De49AB0d42766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starknet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zkSync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0x5A7d6b2F92C77FAD6CCaBd7EE0624E64907Eaf3E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zksync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Cronos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0xA0b73E1Ff0B80914AB6fe0444E65848C4C34450b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crypto-com-chain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VELO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Velodrome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0x3c8B650257cFb5f272f799F5e2b4e65093a11a05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velodrome-finance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0x455e53CBB86018Ac2B8092FdCd39d8444aFFC3F6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YFI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Yearn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0x0bc529c00C6401aEF6D220BE8C6Ea1667F6Ad93e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yearn-finance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FXS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Frax Share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0x3432B6A60D23Ca0dFCa7761B7ab56459D9C964D0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frax-share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FRAX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Frax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0x853d955aCEf822Db058eb8505911ED77F175b99e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frax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CRVUSD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Curve crvUSD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0xf939E0A03FB07F59A73314E73794Be0E57ac1b4E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crvusd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USDT_OP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USDT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0x94b008aA00579c1307B0EF2c499aD98a8ce58e58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CVX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Convex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0x4e3FBD56CD56c3e72c1403e103b45Db9da5B9D2B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convex-finance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USDT_AVAX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USDT (Avax)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0x9702230A8Ea53601f5cD2dc00fDBc13d4dF4A8c7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ai16Z</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ai16z</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HeLp6NuQkmYB4pYWo2zYs22mESHXPQYzXbB8n4V98jwC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ai16z</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Mog 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0xaaee1a9723aadb7afa2810263653a34ba2c21c7a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mog-coin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ApeCoin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0x4d224452801ACEd8B2F0aebE155379bb5D594381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apecoin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BLAST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Blast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0xb1a5700fA2358173Fe465e6eA4Ff52E36e88E2ad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blast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JOE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Trader Joe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0x6e84a6216eA6dACC71eE8E6b0a5B7322EEbC0fDd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joe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MANA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Decentraland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0x0F5D2fB29fb7d3CFeE444a200298f468908cC942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decentraland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 Sandbox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0x3845badAde8e6dFF049820680d1F14bD3903a5d0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the-sandbox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AXS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Axie Infinity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0xBB0E17EF65F82Ab018d8EDd776e8DD940327B28b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axie-infinity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OCEAN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Ocean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0x967da4048cD07aB37855c090aAF366e4ce1b9F48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ocean-protocol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ETHFI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ether.fi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0xFe0c30065B384F05761f15d0CC899D4F9F9Cc0eB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ether-fi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sUSDe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Ethena sUSDe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0x9D39A5DE30e57443BfF2A8307A4256c8797A3497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ethena-staked-usde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Wrapped eETH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0xCd5fE23C85820F7B72D0926FC9b05b43E359b7ee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wrapped-eeth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ether.fi eETH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0x35fA164735182de50811E8e2E824cFb9B6118ac2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ether-fi-staked-eth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MORPHO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Morpho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0x58D97B57BB95320F9a05dC918Aef65434969c2B2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morpho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LQTY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Liquity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0x6DEA81C8171D0bA574754EF6F8b412F2Ed88c54D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liquity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DYDX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dYdX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0x92D6C1e31e14520e676a687F0a93788B716BEff5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dydx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TigerOG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TigerOG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0xCF7Fc0De71238c9EC45EC2Fd24FDc8521345dbB5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 assigned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WOO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WOO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0xcAFcD85D8ca7Ad1e1C6F82F651fA15E33AEfD07b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woo-network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FRXETH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Frax Ether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0x5E8422345238F34275888049021821E8E08CAa1f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frax-ether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SNS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Synthetix v3 SNX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0x8700dAec35aF8Ff88c16BdF0418774CB3D7599B4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havven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PNUT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Peanut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2qEHjDLDLbuBgRYvsxhc5D6uDWAivNFZGan56P1tpump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peanut-the-squirrel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BOME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Book of Meme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ukHH6c7mMyiWCf1b9pnWe25TSpkDDt3H5pQZgZ74J82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book-of-meme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TOSHI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Toshi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0xAC1Bd2486aAf3B5C0fc3Fd868558b082a531B2B4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toshi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PRIME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Echelon Prime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0xb23d80f5fefcddaa212212f028021b41ded428cf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echelon-prime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MAGIC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Magic (Treasure)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0x539bdE0d7Dbd336b79148AA742883198BBF60342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magic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GMT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Green Metaverse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0x3019BF2a2eF8040C242C9a4c5c4BD4C81678b2A1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stepn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sfrxETH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Staked Frax 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0xac3E018457B222d93114458476f3E3416Abbe38F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staked-frax-ether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TRUMP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Official Trump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6p6xgHyF7AeE6TZkSmFsko444wqoP15icUSqi2jfGiPN</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official-trump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TNSR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Tensor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TNSRxcUxoT9xBG3de7PiJyTDYu7kskLqcpddxnEJAS6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tensor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JUV</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Juventus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0x41e3df7f716ab5af28c1497b354d79342923196a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juventus-fan-token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 Milan Fan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0x9f8f72aa9304c8b593d555f12ef6589cc3a579a2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ac-milan-fan-token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CITY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Man City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0xd376df3ebf8d74ed4e0f4cdfff5b2d633ad80ba3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manchester-city-fan-token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AGIX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SingularityNET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0x5B7533812759B45C2B44C19e320ba2cD2681b542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singularitynet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SUSHI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SushiSwap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0x6B3595068778DD592e39A122f4f5a5cF09C90fE2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sushi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Wormhole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0xB0fFa8000886e57F86dd5264b9582b2Ad87b2b91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wormhole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AXL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Axelar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0x467719aD09025FcC6cF6F8311755809d45a5E5f3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axelar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FLUID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Fluid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0x6f40d4A6237C257fff2dB00FA0510DeEECd303eb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instadapp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Stargate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0xAf5191B0De278C7286d6C7CC6ab6BB8A73bA2Cd6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stargate-finance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DAI_AVAX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 (Avax)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0xd586E7F844cEa2F87f50152665BCbc2C279D8d70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PYUSD_ETH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PayPal 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0x6c3ea9036406852006290770bedfcaba0e23a0e8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paypal-usd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BABYDOGE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 Doge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0xc748673057861a797275CD8A068AbB95A902e8de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baby-doge-coin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jitoSOL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JitoSOL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J1toso1uCk3RLmjorhTtrVwY9HJ7X8V9yYac6Y7kGCPn</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jito-staked-sol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NEIRO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Neiro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0xEE2a03Aa6Dacf51C18679C516ad5283d8E7C2637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neiro-on-eth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TURBO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Turbo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0xA35923162C49cF95e6BF26623385eb431ad920D3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turbo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ZEC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Zcash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Zcash</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zcash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BANANA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Banana Gun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0x38E68A37E401F7271568CecaAc63c6B1e19130B4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banana-gun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UNIBOT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Unibot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0xf819d9Cb1c2A819Fd991781A822dE3ca8607c3C9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unibot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KAITO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Kaito AI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0x98d0baa52b2d063e780de12f615f963fe8537553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kaito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Helium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hntyVP6YFm1Hg25TN9WGLqM12b8TQmcknKrdu1oxWux</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helium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ORCA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Orca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orcaEKTdK7LKz57vaAYr9QeNsVEPfiu6QeMU1kektZE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orca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DRIFT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Drift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DriFtupJYLTosbwoN8koMbEYSx54aFAVLddWsbksjwg7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drift-protocol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GALA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Gala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0x15D4c048F83bd7e37d49eA4C83a07267Ec4203dA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gala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ARKM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Arkham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0x6e2a43be0b1d33b726f0ca3b8de60b3482b8b050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arkham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FIL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Filecoin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0x6e1A19F235bE7ED8E3369eF73b196C07257494DE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filecoin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KMNO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Kamino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KMNo3nJsBXfcpJTVhZcXLW7RmTwTt4GVFE7suUBo9sS</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kamino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mSOL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Marinade SOL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mSoLzYCxHdYgdzU16g5QSh3i5K3z3KZK7ytfqcJm7So</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msol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SLP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Smooth Love Potion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0xCC8Fa225D80b9c7D42F96e9570156c65D6cAAa25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smooth-love-potion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ELIZA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elizaOS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5voS9evDjxF589WuEub5i4ti7FWQmZCsAsyD5ucbuRqM</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eliza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5z3EqYQo9HiCEs3R84RCDMu2n7anpDMxRhdK8PSWmrRC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MOODENG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Moo Deng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ED5nyyWEzpPPiWimP8vYm7sD7TD3LAt3Q3gRTWHzPJBY</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moo-deng</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BGB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Bitget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0x54d2252757e1672eead234d27b1270728ff90581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bitget-token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MUMU</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Mumu the Bull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5LafQUrVco6o7KMz42eqVEJ9LW31StPyGjeeu5sKoMtA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mumu-the-bull-3</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FDUSD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First Digital 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0xc5f0f7b66764f6ec8c8dff7ba683102295e16409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first-digital-usd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GALXE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Galxe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0xe4cc45bb5dbda06db6183e8bf016569f40497aa5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galxe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Synthetix sUSD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0x57Ab1ec28D129707052df4dF418D58a2D46d5f51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synthetix-susd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KCS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KuCoin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0xf34960d9d60be18cC1D5Afc1A6F012A723a28811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kucoin-shares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Gate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0xD5CAa0dA00169686EA7b594582827043ad59639D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gate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USUAL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Usual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0xc4441c2be5d8fa8126822b9929ca0b81ea0de38e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usual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EUROC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Euro 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0x1aBaEA1f7C830bD89Acc67eC4af516284b1bC33c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euro-coin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UNI_POL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 (Polygon)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0xb33EaAd8d922B1083446DC23f610c2567fB5180f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PIPPIN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Pippin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Dfh5DzRgSvvCFDoYc2ciTkMrbDfRKybA4SoFbPmApump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pippin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LUNC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Terra Classic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0x45b695F2594713c96B52468ED168A691986b858A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terra-luna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HIGHER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Higher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0x0578d8a44db98b23bf096a382e016e29a5ce0ffe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higher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LINK_OP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LINK (Optimism)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0x350a791Bfc2C21F9Ed5d10980Dad2e2638ffa7f6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GOAT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Goat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CzLSujWBLFsSjncfkh59rUFqvafWcY5tzedWJSuypump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goatseus-maximus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CHILLGUY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Chill Guy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Df6yfrKC8kZE3KNkrHERKzAetSxbrWeniQfyJY4Jpump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chill-guy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PEOPLE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ConstitutionDAO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0x7A58c0Be72BE218B41C608b7Fe7C5bB630736C71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constitutiondao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io.net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BZLbGTNCSFfoth2GYDtwr7e4imWzpR5jqcUuGEwr646K</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io-net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STEPN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GST (Solana)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AFbX8oGjGpmVFywbVouvhQSRmiW2aR1mohfahi4Y2AdB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green-satoshi-token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NMR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Numeraire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0x1776e1F26f98b1A5dF9cD347953a26dd3Cb46671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numeraire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API3</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API3</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0x0b38210ea11411557c13457D4dA7dC6ea731B88a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api3</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Tellor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0x88dF592F8eb5D7Bd38bFeF7dEb0fBc02cf3778a0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tellor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UMA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UMA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0x04Fa0d235C4abf4BcF4787aF4CF447DE572eF828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uma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Threshold tBTC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0x18084fbA666a33d37592fA2633fD49a74DD93a88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LPT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Livepeer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0x58b6A8A3302369DAEc383334672404Ee733aB239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livepeer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GLM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Golem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0x7DD9c5Cba05E151C895FDe1CF355C9A1D5DA6429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golem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MILADY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Milady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0x12970e6868f88f6557b76120662c1b3e50a646bf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milady-meme-coin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WOJAK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Wojak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0x5026f006b85729a8b14553fae6af249ad16c9aab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wojak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GRASS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Grass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Grass7B4RdKfBCjTKgSqnXkqjwiGvQyFbuSCUJr3XXjs</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grass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ETHX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Stader ETHx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0xa35b1b31ce002fbf2058d22f30f95d405200a15b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stader-ethx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ILV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Illuvium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0x767FE9EDC9E0dF98E07454847909b5E959D7ca0E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illuvium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GODS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Gods Unchained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0xccC8cb5229B0ac8069C51fd58367Fd1e622aFD97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gods-unchained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PUFFER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Puffer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0x4d1c297d39c5c1277964d0e3f8aa901493664530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puffer-finance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SWELL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Swell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0x0a6e7ba5042b38349e437ec6db6214aec7b35676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swell-network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METIS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Metis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0x9E32b13ce7f2E80A01932B42553652E053D6ed8e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metis-token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ANKR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Ankr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0x8290333ceF9e6D528dD5618Fb97a76f268f3EDD4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ankr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TRAC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OriginTrail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0xaA7a9CA87d3694B5755f213B5D04094b8d0F0A6F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origintrail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BIFI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Beefy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0xb1f1ee126e9c96231cc3d3fad7c08b4cf873b1f1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beefy-finance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SYN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Synapse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0x0f2D719407FdBeFF09D87557AbB7232601FD9F29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synapse-2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GNS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Gains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0x18c11fd286c5ec11c3b683caa813b77f5163a122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gains-network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sAVAX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Benqi sAVAX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0x2b2C81e08f1Af8835a78Bb2A90AE924ACE0eA4bE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benqi-liquid-staked-avax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BOLD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Liquity v2 BOLD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0x6440f144b7e50D6a8439336510312d2F54beB01D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liquity-v2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LRC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Loopring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0xBBbbCA6A901c926F240b89EacB641d8Aec7AEafD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loopring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TAIKO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Taiko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0x10dea67478c5f8c5e2d90e5e9b26dbe60c54d800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taiko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SCROLL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Scroll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0xd7d43ab7b365f0d0789ae83f4385fa1e8bc7ab2f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scroll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GRAIL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Camelot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0x3d9907F9a368ad0a51Be60f7Da3b97cf940982D8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camelot-token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DIA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DIA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0x84cA8bc7997272c7CfB4D0Cd3D55cd942B3c9419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dia-data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Origin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0x856c4efb76c1d1ae02e20ceb03a2a6a08b0b8dc3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origin-ether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GEARBOX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Gearbox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0xba3335588d9403515223f109edc4eb7269a9ab5d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gearbox-protocol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QI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BENQI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0x8729438EB15e2C8B576fCc6AeCdA6A148776C0F5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benqi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STORJ</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Storj</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0xB64ef51C888972c908CFacf59B47C1AfBC0Ab8aC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storj</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QUICK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QuickSwap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0x831753DD7087CaC61aB5644b308642cc1c33Dc13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quick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PENDLE_B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Pendle (Base)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0xa99f6e6785da0f5d6fb42495fe424bce029eeb3e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pendle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GMT2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GMT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0x3019BF2a2eF8040C242C9a4c5c4BD4C81678b2A1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stepn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0x4C22D1536FCc44a97d641f1662c99c41A358f9bd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FLOKI2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FLOKI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0xfb5B838b6cfEEdC2873aB27866079AC55363D37E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floki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MPLX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Metaplex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METAewgxyPbgwsseH8T16a39CQ5VyVxZi9zXiDPY18m</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metaplex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MOBILE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Helium Mobile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mb1eu7TzEc71KxDpsmsKoucSSuuoGLv1drys1oP2jh6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helium-mobile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MNDE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Marinade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MNDEFzGvMt87ueuHvVU9VcTqsAP5b3fTGPsHuuPA5ey</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marinade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BAND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Band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0xBA11D00c5f74255f56a5E366F4F77f5A186d7f55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band-protocol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LAYER3</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Layer3</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0x88909d489678dd17aa6d9609f89b0419bf78fd9a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layer3</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XAUT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Tether Gold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0x68749665FF8D2d112Fa859AA293F07A622782F38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tether-gold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DODO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DODO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0x43Dfc4159D86F3A37A5A4B3D4580b888ad7d4DDd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dodo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GHST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Aavegotchi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0x385Eeac5cB85A38A9a07A70c73e0a3271CfB54A7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aavegotchi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CLOUD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Sanctum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CLoUDKc4Ane7HeQcPpE3YHnznRxhMimJ4MyaUqyHFzAu</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sanctum-2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MOCHI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Mochi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0xf6e932ca12afa26665dc4dde7e27be02a7c02e50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mochi-thecatcoin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OHM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Olympus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0x64aa3364F17a4D01c6f1751Fd97C2BD3D7e7f1D5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olympus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PIXEL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Pixels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0x3429d03c6f7521aec737a0bbf2e5ddcef2c3ae31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pixels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OLAS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Autonolas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0x0001a500a6b18995b03f44bb040a5ffc28e45cb0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autonolas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FLUX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Flux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0x469eda64aed3a3ad6f868c44564291aa415cb1d9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zelcash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Alchemy Pay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0xEd04915c23f00A313a544955524EB7DBD823143d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alchemy-pay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AKT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Akash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0x85a5b5d3e3440a05299C5FC1Da15BE355eb87051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akash-network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XVS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Venus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0xcF6BB5389c92Bdda8a3747Ddb454cB7a64626C63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venus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MPL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Maple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0x33349B282065b0284d756F0577FB39c158F935e6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maple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MANTA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Manta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0x95cdF1f6306c1d6a8e4bF0bF0cFAb41c87E4f0CC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manta-network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AltLayer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0x8457ca5040ad67fdebbcc8edce889a335bc0fbfb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altlayer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0x3294395e62F4eB6aF3f1Fcf89f5602D90Fb3Ef69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ZRC20</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ZetaChain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0xf091867ec603a6628ed83d274e835539d82e9cc8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zetachain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0x6fB3e0A217407EFFf7Ca062D46c26E5d60a14d69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rswETH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Swell rswETH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0xfae103dc9cf190ed75350761e95403b7b8afa6c0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restaked-swell-eth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USD0</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Usual USD0</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0x73A15FeD60Bf67631dC6cd7Bc5B6e8da8190aCF5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usual-usd0</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ALPACA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Alpaca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0x8F0528cE5eF7B51152A59745bEfDD91D97091d2F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alpaca-finance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CFG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Centrifuge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0x1ECF064cd4016aAE4C4cee1c2eCa660fdb3AA46F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centrifuge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AIXBT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AIXBT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0x4F9Fd6Be4a90f2620860d680c0d4d5Fb53d1A825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aixbt-by-virtuals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CLANKER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Clanker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0x1bc0c42215582d5A085795f4baDbaC3ff36d1Bcb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clanker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OG Fan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0x0A5b6fF8B6b22a631D9945714331E59407CB23e4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og-fan-token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SWEAT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SWEAT Economy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0xB4b9DC1C77bdbb135eA907fd5a08094d98883A35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sweat-economy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RARE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SuperRare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0xba5BDe662c17e2aDFF1075610382B9B691296350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superrare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CARV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CARV</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0xc08cd26474722ce93f4d0c34d16201461c10aa8c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carv</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TLM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Alien Worlds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0x2222227E22102Fe3322098e4CBfE18cFebD57c95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alien-worlds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RDNT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Radiant Capital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0x0C4681e6C0235179ec3D4F4fc4DF3d14FDD96017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radiant-capital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CRV_ARB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CRV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0x11cDb42B0EB46D95f990BeDD4695A6e3fA034978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curve-dao-token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SNX_ARB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SNX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0x8700daec35aF8Ff88c16BdF0418774CB3D7599B4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havven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SNS_OP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Synthetix (OP)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0x8700dAec35aF8Ff88c16BdF0418774CB3D7599B4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havven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TNSR2</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Tensor (defi)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TNSRxcUxoT9xBG3de7PiJyTDYu7kskLqcpddxnEJAS6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tensor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ZEREBRO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Zerebro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8x5VqbHA8D7NkD52uNuS5nnt3PwA8pLD34ymskeSo2Wn</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zerebro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 Rig Complex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61V8vBaqAGMpgDQi4JcAwo1dmBGHsyhzodcPqnEVpump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ai-rig-complex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ELON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Dogelon Mars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0x761D38e5ddf6ccf6Cf7c55759d5210750B5D60F3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dogelon-mars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HONEY_HM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Hivemapper Honey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4vMsoUT2BWatFweudnQM1xedRLfJgJ7hswhcpz4xgBTy</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hivemapper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ATLAS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Star Atlas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ATLASXmbPQxBUYbxPsV97usA3fPQYEqzQBUHgiFCUsXx</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star-atlas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INTER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Inter Milan Fan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0x5b2F0f13E35B36E2bDfC55D76fC2A8B3b8B9D41A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inter-milan-fan-token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LAZIO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Lazio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0x77d547256A2cD95F32F67aE0313E450Ac200648d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lazio-fan-token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PORTO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Porto Fan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0x49f2145d6366099e13B10FbF80646C0F377eE7f6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fc-porto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ATM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Atletico Madrid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0x986058ec93756E57b4e55b406dD0BeE24bcD95e3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atletico-madrid-fan-token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MFER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mfer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0x2C91D908E9fab2dD2441532a04182d791e590f2d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mfercoin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NORMIE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Normie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0x7F12d13B34F5F4f0a9449c16Bcd42f0da47AF200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normie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 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Gu3LDkn7Vx3bmCzLafYNKcDxv2mH7YN44NJZFXnypump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MEXC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0x11eef04c884e24d9b7b4760e7476d06ddf797f36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mx-token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ALICE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My Neighbor Alice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0xAC51066d7bEC65Dc4589368da368b212745d63E8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my-neighbor-alice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BEAM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Beam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0x62d0a8458ed7719fdaf978fe5929c6d342b0bfce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beam-2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YGG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Yield Guild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0x25f8087EAD173b73D6e8B84329989A8eEA16CF73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yield-guild-games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Merit Circle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0x949D48EcA67b17269629c7194F4b727d4Ef9E5d6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merit-circle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SANTOS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Santos Fan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0xA64455a4553C9034236734FadDAddbb64aCE4Cc7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santos-fc-fan-token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ALPINE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Alpine F1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0x287880ea252b52b63cc5f40a2d3e5a44aa665a76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alpine-f1-team-fan-token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Mask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0x69af81e73A73B40adF4f3d4223Cd9b1ECE623074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mask-network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CYBER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CyberConnect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0x14778860e937f509e651192a90589de711fb88a9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cyberconnect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298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AIOZ</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AIOZ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0x626E8036dEB333b408Be468F951bdB42433cBF18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aioz-network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299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SPACE ID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0x2dff88a56767223a5529ea5960da7a3f5f766406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space-id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DOGE2</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Dogecoin (Solana wrap)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A6aK89T94bVkknpFELSHqcm1axGvVqxbH3tnLPHDpump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dogecoin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ACT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Act 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GJAFwWjJ3vnTsrQVabjBVK2TYB1YtRCQXRDfDgUnpump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act-i-the-ai-prophecy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MYRO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Myro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HhJpBhRRn4g56VsyLuT8DL5Bv31HkXqsrahTTUCZeZg4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myro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WENWENvqqNya429ubCdR81ZmD69brwQaaBYY6p3LCpk</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wen-4</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TYBG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Based God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0x0d97F261b1e88845184f678e2d1e7a98D9FD38dE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tybg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ANDY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Andy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0x4F14cDAe8C6b07AA7BCfe4f5c3D19B53E7f0c0D8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andyerc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PoolTogether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0x0cEC1A9154Ff802e7934Fc916Ed7Ca50bDE6844e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pooltogether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EUROC_ETH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Euro 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0x1aBaEA1f7C830bD89Acc67eC4af516284b1bC33c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euro-coin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TROLL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TROLL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5UUH9RTDiSpq6HKS6bp4NdU9PNJpXRXuiw6ShBTBhgH2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troll-2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GIGA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Gigachad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63LfDmNb3MQ8mw9MtZ2To9bEA2M71kZUUGq5tiJxcqj9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gigachad-2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0x6aa56e1d98b3805921c170eb4b3fe7d4fda6d89b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ACROSS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Across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0x44108f0223A3C3028F5Fe7AEC7f9bb2E66beF82F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across-protocol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Mountain USDM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0x59d9356e565ab3a36dd77763fc0d87feaf85508c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mountain-protocol-usdm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agEUR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Angle agEUR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0x1a7e4e63778B4f12a199C062f3eFdD288afCBce8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ageur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Threshold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0xCdF7028ceAB81fA0C6971208e83fa7872994beE5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threshold-network-token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Hop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0xc5102fE9359FD9a28f877a67E36B0F050d81a3CC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hop-protocol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BIFI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Beefy (Polygon)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0xFbdd194376de19a88118e84E279b977f165d01b8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beefy-finance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SHIB2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SHIB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0x2859e4544C4bB03966803b044A93563Bd2D0DD4D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shiba-inu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Truth Terminal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8sgkCEdLpcNGqDsLDBgrqsbqFkRBJsbaHcQXjbpDpump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truth-terminal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MELANIA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Melania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FUAfBo2jgks6gB4Z4LfZkqSZgzNucisEHqnNebaRxM1P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melania-meme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JONES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Jones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0x10393c20975cF177a3513071bC110f7962CD67da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jones-dao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GHST2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Aavegotchi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0x3F382DbD960E3a9bbCeaE22651E88158d2791550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aavegotchi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BUILD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Build on Base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0x3C281A39944a2319aA653D81Cfd93Ca10983D234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build-on-base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MEMECORE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MemeCore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0x1b980e05943dE3dB3a459C72325338d327B6F5a9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memecore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RLC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iExec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0x607F4C5BB672230e8672085532f7e901544a7375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iexec-rlc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INDEX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Index Coop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0x0954906da0Bf32d5479e25f46056d22f08464cab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index-coop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BADGER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BadgerDAO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0x3472A5A71965499acd81997a54BBA8D852C6E53d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badger-dao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SPELL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Spell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0x090185f2135308BaD17527004364eBcC2D37e5F6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spell-token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REQ</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Request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0x8f8221aFbB33998d8584A2B05749bA73c37a938a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request-network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PERP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Perpetual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0x9e1028F5F1D5eDE59748FFceE5532509976840E0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perpetual-protocol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INST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Instadapp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0x6f40d4A6237C257fff2dB00FA0510DeEECd303eb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instadapp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ALCX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Alchemix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0xdBdb4d16EdA451D0503b854CF79D55697F90c8DF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alchemix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 on Base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0x4a0c64af541439898448659aedcec8e8e819fc53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ponke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ZEREBRO2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Zerebro v2</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0x5b2f0f13e35b36e2bdfc55d76fc2a8b3b8b9d41a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zerebro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PUNCH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Punch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NV2RYH954cTJ3ckFUpvfqaQXU4ARqqDH3562nFSpump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punch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SLERF</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Slerf</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7BgBvyjrZX1YKz4oh9mjb8ZScatkkwb8DzFx7LoiVkM3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slerf</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VVAIFU</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VVaifu</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FQ1tyso61AH1tzodyJfSwmzsD3GToybbRNoZxUBz21p8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dasha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HARAMBE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Harambe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Fch1oixTPri8zxBnmdCEADoJW2toyFHxqDZacQkwdvSP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harambe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FWOG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Fwog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A8C3xuqscfmyLrte3VmTqrAq8kgMASius9AFNANwpump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fwog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KNINE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K9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EKtMEENYmE4o6xyMbM3tAK7f4BkmKKNBY8dNRGBpump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k9-finance-dao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WKC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Wiki Cat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0x6ec90334d89dbdc89e08a133271be3d104128edb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wiki-cat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JPEG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JPEG'd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0xE80C0cd204D654CEbe8dd64A4857cAb6Be8345a3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jpeg-d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OMNI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Omni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0x36E66fbBce51e4cD5bd3C62B637Eb411b18949D4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omni-network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XBORG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XBorg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0xeae00d6f9b16deb1bd584c7965e4c7d762f178a1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xborg</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WILD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Wilder World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0x2a3bFF78B79A009976EeA096a51A948a3dC00e34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wilder-world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ASR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AS Roma Fan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0xfc82bb4ba86045af6f327323a46e80412b91b27d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as-roma-fan-token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XCAD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XCAD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0x7659CE147D0e714454073a5dd7003544234b6Aa0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xcad-network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HOOK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Hooked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0xa260e12d2b924cb899ae80bb58123ac3fee1e2f0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hooked-protocol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LISUSD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Lista 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0x0782b6d8c4551B9760e74c0545a9bCD90bdc41E5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lista-usd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AURORA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Aurora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0xAaAAAA20D9E0e2461697782ef11675f668207961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aurora-near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SUPRA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Supra Oracles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0x2a718ba18498e26b16D4Ce1e6F61a3CC9aF6e4a1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supra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XYO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XYO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0x55296f69f40Ea6d20E478533C15A6B08B654E758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xyo-network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LUMIA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Lumia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0xd9343a049d5dbd89cd19dc6bca8c48fb3a0a42a7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lumia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SYRUP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Maple SYRUP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0xB850B9247410d693F44E9AC32f676a3043A13Ed4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maple-finance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LOOKS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LooksRare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0xf4d2888d29D722226FafA5d9B24F9164c092421E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looksrare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KWENTA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Kwenta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0x920Cf626a271321C151D027030D5d08aF699456b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kwenta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BSW</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Biswap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0x965F527D9159dCe6288a2219DB51fc6Eef120dD1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biswap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UNFI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Unifi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0x728C5baC3C3e370E372Fc4671f9ef6916b814d8B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unifi-protocol-dao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TKO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Tokocrypto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0x9f589e3eabe42ebC94A44727b3f3531C0c877809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tokocrypto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ggAVAX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GoGoPool ggAVAX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0x69260b9483f9871ca57f81a90d91e2f96c2cd11d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gogopool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PYR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Vulcan Forged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0x430ef9263e76dae63c84292c3409d61c598e9682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vulcan-forged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MODE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Mode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0x084382d1cc4f4dfd1769b1cc1ac2a9b1f8365e90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mode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FUEL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Fuel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0x675b68aa4d9c2d3bb3f0397048e62e6b7192079c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fuel-network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LSK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Lisk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0x6033f7f88332b8db6ad452b7c6d5bb643990ae3f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lisk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PlayDapp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0x3a4f40631a4f906c2BaD353Ed06De7A5D3fCb430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playdapp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HIGH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Highstreet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0x71Ab77b7dbB4fa7e017BC15090b2163221420282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highstreet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VOXEL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Voxies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0x3c4b6e6e1ea3d4863700d7f76b36b7f3d3f13e3d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voxies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BTRST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Braintrust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0x799ebfABE77a6E34311eeEe9825190B9ECe32824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braintrust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POWR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Power Ledger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0x595832F8FC6BF59c85C527fEC3740A1b7a361269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power-ledger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PROM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Prom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0xfc82bb4ba86045Af6F327323a46E80412b91b27d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prom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SubQuery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0x09395a2a58db45db0da254c7eaa5ac469d8bdc85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subquery-network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MOBY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Moby Trade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0x93D6F85Dd4d3E679e5eD5c7dc6B71b98f1C6de8a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moby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NOTIONAL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Notional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0x65aed01c7af795083f3fac38d56e3b1fae16e54a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notional-finance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TLM2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Alien Worlds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0x888888848B652B3E3a0f34c96E00EEC0F3a23F72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alien-worlds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SAMO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Samoyedcoin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7xKXtg2CW87d97TXJSDpbD5jBkheTqA83TZRuJosgAsU</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samoyedcoin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HXRO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Hxro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HxhWkVpk5NS4Ltg5nij2G671CKXFRKPK8vy271Ub4uEK</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hxro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POLIS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Star Atlas POLIS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poLisWXnNRwC6oBu1vHiuKQzFjGL4XDSu4g9qjz9qVk</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star-atlas-dao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TSUKA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Dejitaru Tsuka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0xc5fb36dd2fb59d3b98deff88425a3f425ee469ed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dejitaru-tsuka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Helium IoT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iotEVVZLEywoTn1QdwNPddxPWszn3zFhEot3MfL9fns</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helium-iot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DIMO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DIMO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0xe261d618a959afffd53168cd07d12e37b26761db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dimo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HONEY_SOL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Hivemapper Honey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4vMsoUT2BWatFweudnQM1xedRLfJgJ7hswhcpz4xgBTy</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hivemapper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GRIFFAIN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Griffain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KENJSUYLASHUMfHyy5o4Hp2FdNqZg1AsUPhfH2kYvEP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griffain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RETARDIO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Retardio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6ogzHhzdrQr9Pgv6hZ2MNze7UrzBMAFyBBWUYp1Fhitx</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retardio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AKITA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Akita Inu</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0x3301Ee63Fb29F863f2333Bd4466acb46CD8323E6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akita-inu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Anon (Clanker)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0x79bbF4508B1391af3A0F4B30bb5FC4aa9ab0E07C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anon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PNG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Pangolin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0x60781C2586D68229fde47564546784ab3fACA982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pangolin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LUNA_AI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 AI agent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9se6kma7LeGcQWyRBNcYzyxZPE3r9t9qWZ8SnjnN3jJ7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luna-by-virtuals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ELON2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Dogelon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0x7bd6FaBD64813c48545C9c0e312A0099d9be2540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dogelon-mars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TREMP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Tremp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FU1q8vJpZNUrmqsciSjp8bAKKidGsLmouB8CBdf8TKQv</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doland-tremp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BODEN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Jeo Boden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3psH1Mj1f7yUfaD5gh6Zj7epE8hhrMkMETgv5TshQA4o</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jeo-boden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0x32E0f9d26D1e33625742A52620cC76C1130efde6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based-markets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TBTC2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tBTC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0x6c84a8f1c29108f47a79964b5fe888d4f4d0de40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VIRTUAL2</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Virtuals (Solana)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3iQL8BFS2vE7mww4ehAqQHAsbmRNCrPxizWAT2Zfyr9y</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virtual-protocol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CULT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Cult 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0xf0f9d895aca5c8678f706fb8216fa22957685a13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cult-dao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HeJUFDxfJSzYFUuHLxkMqCgytU31G6mjP4wKviwqpump</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NORMIE2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Normie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0x7F12d13B34F5F4f0a9449c16Bcd42f0da47AF200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normie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ANGLE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Angle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0x31429d1856aD1377A8A0079410B297e1a9e214c2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angle-protocol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COQ</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Coq Inu</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0x420fca0121dc28039145009570975747295f2329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coq-inu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398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AVAX_MEME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Avax Meme avg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0x0000000000000000000000000000000000000000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399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FREYSA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Freysa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0x728b608a9e8FFF96fEF7e23FF7aE9B7eAfd07B09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freysa-ai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LUNA_AI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 (Virtuals)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0x55cd6469f597452b5a7536e2cd98fde4c1247ee4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luna-by-virtuals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SKI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Ski Mask Dog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0x768be13e1680b5ebe0024c42c896e3db59ec0149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ski-mask-dog</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MIGGLES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Mr. Miggles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0xb1a03eda10342529bbf8eb700a06c60441fef25d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mister-miggles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PAAL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PAAL AI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0x14fee680690900ba0cccfc76ad70fd1b95d10e16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paal-ai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rsETH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Kelp rsETH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0xa1290d69c65a6fe4df752f95823fae25cb99e5a7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kelp-dao-restaked-eth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0xEBA6145367b33e9FB683358E0421E8b7337D435f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wen-4</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MENCHESTER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 Utd Fan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0x3ebb4a4e91ad83be51f8d596533818b246f4bee1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manchester-united-fan-token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STEP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Step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StepAscQoEioFxxWGnh2sLBDFp9d8rvKz2Yp39iDpyT</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step-finance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ezETH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Renzo ezETH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0xbf5495Efe5DB9ce00f80364C8B423567e58d2110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renzo-restaked-eth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SIGMA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Sigma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5SVG3T9CNQsm2kEwzbRq6hASqh1oGfjqTtLXYUibpump</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sigma-sol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IPOR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IPOR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0x1e4746dC744503b53b4A082cB3607B169a289090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ipor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SPECTRA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Spectra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0x6a89228055c7c28430692e342f149f37462b478b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spectra-finance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MNGO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Mango (ETH)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0x472D4b61eA4558B3a6C0B0C5B1E0c5e2B4D7Bef1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mango-markets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KIMBO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Kimbo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0x184ff13b3ebcb25be44e860163a5d8391dd568c1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kimbo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FRySi8LPkuByB7VPSCCggxpewFUeeJiwEGRKKuhwpKcX</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natix-network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GEOD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Geodnet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0xac0f66379a6d7801d7726d5a943356a172549adb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geodnet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MNGO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Mango Markets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MangoCzJ36AjZyKwVj3VnYU4GTonjfVEnJmvvWaxLac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mango-markets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REVV</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REVV Racing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0x70c006878a5A50Ed185ac4C87d837633923De296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revv</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LayerZero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0x5FFd23b1B4f250b4c83Da97DBB7cB4614b5bBFeA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layerzero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FRAX_BSC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Frax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0x90C97F71E18723b0Cf0dfa30ee176Ab653E89F40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frax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EULER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Euler Finance v2</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0xd9Fcd98c322942075A5C3860693e9f4f03AAE07b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euler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RAIL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Railgun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0xe76C6c83af64e4C60245D8C7dE953DF673a7A33D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railgun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PRISMA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Prisma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0xda47862a83dac0c112ba89c6abc2159b95afd71c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prisma-finance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BERA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Berachain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0x1dBE93F3BA0e764C620451E8F21AE32f51a055A3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berachain-bera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KEYCAT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Keyboard Cat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0x9a26f5433671751c3276a065f57e5a02d2817973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keyboard-cat-base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WETH_ARB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WETH (Arbitrum)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0x82aF49447D8a07e3bd95BD0d56f35241523fBab1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WETH_OP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 (Optimism)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0x4200000000000000000000000000000000000006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WETH_POL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WETH (Polygon)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0x7ceB23fD6bC0adD59E62ac25578270cFf1b9f619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WETH_BSC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 (BSC)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0x2170Ed0880ac9A755fd29B2688956BD959F933F8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WETH_AVAX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WETH (Avalanche)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0x49D5c2BdFfac6CE2BFdB6640F4F80f226bc10bAB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STETH_ETH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stETH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0xae7ab96520DE3A18E5e111B5EaAb095312D7fE84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staked-ether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OP_TOKEN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OP (native)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0x4200000000000000000000000000000000000042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ARB_TOKEN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 (native)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0x912CE59144191C1204E64559FE8253a0e49E6548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AVAX_NATIVE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AVAX (native)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0x0000000000000000000000000000000000000000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avalanche-2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GRT_ARB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GRT (Arbitrum)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0x23A941036Ae778Ac51Ab04CEa08Ed6e2FE103614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the-graph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IMX_ETH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IMX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0xF57e7e7C23978C3cAEC3C3548E3D615c346e79fF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immutable-x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RNDR_SOL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RNDR (Solana)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rndrizKT3MK1iimdxRdWabcF7Zg7AR5T4nud4EkHBof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render-token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FET_ETH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FET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0xaea46A60368A7bD060eec7DF8CBa43b7EF41Ad85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fetch-ai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AGIX_ETH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AGIX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0x5B7533812759B45C2B44C19e320ba2cD2681b542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singularitynet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OCEAN_ETH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OCEAN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0x967da4048cD07aB37855c090aAF366e4ce1b9F48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ocean-protocol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NMR_ETH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NMR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0x1776e1F26f98b1A5dF9cD347953a26dd3Cb46671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numeraire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VIRTUAL_BASE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VIRTUAL (Base)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0x0b3e328455c4059EEb9e3f84b5543F74E24e7E1b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virtual-protocol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BAT_ETH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BAT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0x0D8775F648430679A709E98d2b0Cb6250d2887EF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basic-attention-token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CHZ_ETH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CHZ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0x3506424F91fD33084466F402d5D97f05F8e3b4AF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chiliz</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AXS_ETH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AXS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0xBB0E17EF65F82Ab018d8EDd776e8DD940327B28b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axie-infinity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SAND_ETH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SAND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0x3845badAde8e6dFF049820680d1F14bD3903a5d0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the-sandbox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MANA_ETH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MANA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0x0F5D2fB29fb7d3CFeE444a200298f468908cC942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decentraland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SHIB_ETH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SHIB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0x95aD61b0a150d79219dCF64E1E6Cc01f0B64C4cE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shiba-inu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LUNC_BSC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LUNC (BSC bridged)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0x45b695F2594713c96B52468ED168A691986b858A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terra-luna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RLC_ETH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RLC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0x607F4C5BB672230e8672085532f7e901544a7375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iexec-rlc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GLM_ETH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GLM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0x7DD9c5Cba05E151C895FDe1CF355C9A1D5DA6429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golem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BAND_ETH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BAND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0xBA11D00c5f74255f56a5E366F4F77f5A186d7f55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band-protocol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TRB_ETH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TRB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0x88dF592F8eb5D7Bd38bFeF7dEb0fBc02cf3778a0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tellor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CBETH_BASE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CBETH (Base)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0x2ae3f1ec7f1f5012cfeab0185bfc7aa3cf0dec22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coinbase-wrapped-staked-eth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USDC_BASE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 (Base)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0x833589fcd6edb6e08f4c7c32d4f71b54bda02913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CAKE_BSC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CAKE (BSC)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0x0E09FaBB73Bd3Ade0a17ECC321fD13a19e81cE82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pancakeswap-token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JOE_AVAX2</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JOE (Avalanche)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0x6e84a6216eA6dACC71eE8E6b0a5B7322EEbC0fDd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joe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WBTC_ETH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WBTC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0x2260FAC5E5542a773Aa44fBCfeDf7C193bc2C599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0xA0b86991c6218b36c1d19D4a2e9Eb0cE3606eB48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USDT_ETH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USDT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0xdAC17F958D2ee523a2206206994597C13D831ec7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LINK_ETH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LINK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0x514910771AF9Ca656af840dff83E8264EcF986CA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chainlink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UNI_ETH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0x1f9840a85d5aF5bf1D1762F925BDADdC4201F984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MKR_ETH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MKR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0x9f8F72aA9304c8B593d555F12eF6589cC3A579A2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maker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SNX_ETH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SNX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0xC011a73ee8576Fb46F5E1c5751cA3B9Fe0af2a6F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havven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COMP_ETH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COMP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0xc00e94Cb662C3520282E6f5717214004A7f26888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compound-governance-token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CRV_ETH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CRV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0xD533a949740bb3306d119CC777fa900bA034cd52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curve-dao-token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LDO_ETH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LDO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0x5A98FcBEA516Cf06857215779Fd812CA3beF1B32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lido-dao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RPL_ETH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RPL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0xD33526068D116cE69F19A9ee46F0bd304F21A51f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rocket-pool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RETH_ETH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rETH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0xae78736Cd615f374D3085123A210448E74Fc6393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rocket-pool-eth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FXS_ETH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FXS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0x3432B6A60D23Ca0dFCa7761B7ab56459D9C964D0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frax-share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CVX_ETH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CVX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0x4e3FBD56CD56c3e72c1403e103b45Db9da5B9D2B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convex-finance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BAL_ETH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BAL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0xba100000625a3754423978a60c9317c58a424e3D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balancer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YFI_ETH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YFI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0x0bc529c00C6401aEF6D220BE8C6Ea1667F6Ad93e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yearn-finance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GRT_ETH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GRT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0xc944E90C64B2c07662A292be6244BDf05Cda44a7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the-graph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0x7D1AfA7B718fb893dB30A3aBc0Cfc608AaCfeBB0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matic-network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ARB_ETH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ARB (Ethereum)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0xb50721bcf8d664c30412cfbc6cf7a15145234ad1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OP_ETH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OP (Ethereum)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0x4200000000000000000000000000000000000042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2Z</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DoubleZero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J6pQQ3FAcJQeWPPGppWRb4nM8jU3wLyYbRrLh7feMfvd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doublezero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ASTER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Aster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0x000ae314e2a2172a039b26378814c252734f556a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aster-2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ATOM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Cosmos Hub</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Cosmos</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cosmos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Agora AUSD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0x00000000efe302beaa2b3e6e1b18d08d69a9012a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agora-dollar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BMX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BitMart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0x986ee2b944c42d017f52af21c4c69b84dbea35d8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bitmart-token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BTSE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BTSE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0x666d875c600aa06ac1cf15641361dec3b00432ef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btse-token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CHEEMS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Cheems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0x0df0587216a4a1bb7d5082fdc491d93d2dd4b413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cheems-token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0xde4EE8057785A7e8e800Db58F9784845A5C2Cbd6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DOLA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Dola 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0x865377367054516e17014CcdED1e7d814EDC9ce4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dola-usd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FTM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Fantom (ERC-20)</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0x4E15361FD6b4BB609Fa63C81A2be19d873717870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fantom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FTT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FTX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0x50D1c9771902476076eCFc8B2A83Ad6b9355a4c9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ftx-token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Gnosis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0x6810e776880C02933D47DB1b9fc05908e5386b96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gnosis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GOMINING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GoMining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0x7ddc52c4de30e94be3a6a0a2b259b2850f421989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gmt-token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0x2b591e99afE9f32eAA6214f7B7629768c40Eeb39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INJ</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Injective (ERC-20)</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0xe28b3B32B6c345A34Ff64674606124Dd5Aceca30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injective-protocol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JASMY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JasmyCoin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0x7420B4b9a0110cdC71fB720908340C03F9Bc03EC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jasmycoin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Keeta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0xc0634090F2Fe6c6d75e61Be2b949464aBB498973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keeta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LEO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UNUS SED LEO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0x2AF5D2aD76741191D15Dfe7bF6aC92d4Bd912Ca3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leo-token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LSETH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Liquid Staked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0x8c1bed5b9a0928467c9b1341da1d7bd5e10b6549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liquid-staked-ethereum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NEXO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Nexo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0xB62132e35a6c13ee1EE0f84dC5d40bad8d815206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nexo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NXPC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NEXPACE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0xeAcE4FBf1EB4Fc2571e87E8F28E7D0553e258B01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nexpace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498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QNT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Quant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0x4a220E6096B25EADb88358cb44068A3248254675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quant-network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499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RLB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Rollbit 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0x046eee2cc3188071c02bfc1745a6b17c656e3f3d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rollbit-coin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RLUSD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Ripple 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0x8292bb45bf1ee4d140127049757c2e0ff06317ed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ripple-usd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RSR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Reserve Rights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0x320623b8E4fF03373931769A31Fc52A4E78B5d70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reserve-rights-token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SFP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SafePal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0xD41FDb03Ba84762dD66a0af1a6C8540FF1ba5dfb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safepal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SHFL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Shuffle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0x8881562783028f5c1bcb985d2283d5e170d88888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shuffle-2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SIREN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Siren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0x997A58129890bBdA032231A52eD1ddC845fc18e1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siren-bsc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SKYAI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SKYAI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0x92aa03137385f18539301349dcfc9ebc923ffb10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skyai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SOSO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SoSoValue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0x624e2e7fDc8903165F64891672267AB0FCB98831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sosovalue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TEL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Telcoin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0xdF7837DE1F2Fa4631D716CF2502f8b230F1dcc32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telcoin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TIBBIR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Ribbita by Virtuals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0xa4a2e2ca3fbfe21aed83471d28b6f65a233c6e00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ribbita-by-virtuals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TrueUSD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0x0000000000085d4780B73119b644AE5ecd22b376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true-usd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TWT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Trust Wallet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0x4B0F1812e5Df2A09796481Ff14017e6005508003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trust-wallet-token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USDD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0x0C10bF8FcB7Bf5412187A595ab97a3609160b5c6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usdd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Global Dollar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0xe343167631d89b6ffc58b88d6b7fb0228795491d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global-dollar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VVV</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Venice Token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0xacfE6019Ed1A7Dc6f7B508C02d1b04ec88cC21bf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venice-token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WBETH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Beacon 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0xa2e3356610840701bdf5611a53974510ae27e2e1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wrapped-beacon-eth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WBNB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Wrapped BNB</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0xbb4CdB9CBd36B01bD1cBaEBF2De08d9173bc095c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wbnb</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WLFI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World Liberty Financial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0x779073bd43F2E93dc09cC99210a048B65CDD66cD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world-liberty-financial-wlfi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XCN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Onyxcoin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0xA2cd3D43c775978A96BdBf12d733D5A1ED94fb18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chain-2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XLM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Stellar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Stellar</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NATIVE — no EVM contract</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stellar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YZY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YZY Money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DrZ26cKJDksVRWib3DVVsjo9eeXccc7hKhDJviiYEEZY</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yzy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ZBCN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Zebec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Solana</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ZBCNpuD7YMXzTHB2fhGkGi78MNsHGLRXUhRewNRm9RU</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zebec-network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ZIG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Zignaly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0xb2617246d0c6c0087f18703d576831899ca94f01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zignaly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sUSDS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Savings USDS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0xa3931d71877c0e7a3148cb7eb4463524fec27fbd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susds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WMATIC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Wrapped Matic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0x0d500B1d8E8eF31E21C99d1Db9A6444d3ADf1270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wmatic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Magic Internet Money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0x130966628846BFd36ff31a822705796e8cb8C18D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magic-internet-money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MIMATIC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0xa3Fa99A148fA48D14Ed51d610c367C61876997F1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mimatic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TIME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Wonderland TIME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0xb54f16fB19478766A268F172C9480f8da1a7c9C3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wonderland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USDTE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Tether Avalanche Bridged  USDT 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0xc7198437980c041c805A1EDcbA50c1Ce5db95118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tether-avalanche-bridged-usdt-e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WAVAX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0xB31f66AA3C1e785363F0875A1B74E27b85FD66c7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wrapped-avax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BTCB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Bitcoin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0x7130d2A12B9BCbFAe4f2634d864A1Ee1Ce3Ead9c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0xe9e7CEA3DedcA5984780Bafc599bD69ADd087D56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ENJ</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Enjin 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0xF629cBd94d3791C9250152BD8dfBDF380E2a3B9c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enjincoin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FISH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Polycat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0x3a3Df212b7AA91Aa0402B9035b098891d276572B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polycat-finance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MELT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Defrost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0x47EB6F7525C1aA999FBC9ee92715F5231eB1241D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defrost-finance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Rai Reflex Index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0x03ab458634910AaD20eF5f1C8ee96F1D6ac54919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YAK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Yield Yak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0x59414b3089ce2AF0010e7523Dea7E2b35d776ec7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yield-yak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ZRX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0x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0xE41d2489571d322189246DaFA5ebDe1F4699F498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ADA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Peg Cardano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0x3EE2200Efb3400fAbB9AacF31297cBdD1d435D47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binance-peg-cardano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ADDY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Adamant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0xc3FdbadC7c795EF1D6Ba111e06fF8F16A20Ea539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adamant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Amp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0xfF20817765cB7f73d4bde2e66e067E58D11095C2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amp-token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Bancor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0x1F573D6Fb3F13d689FF844B4cE37794d79a7FF1C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bancor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BOND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BarnBridge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0x0391D2021f89DC339F60Fff84546EA23E337750f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barnbridge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Peg Polkadot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0x7083609fCE4d1d8Dc0C979AAb8c869Ea2C873402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binance-peg-polkadot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DPX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Dopex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0x6C2C06790b3E3E3c38e12Ee22F8183b37a13EE55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dopex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HELMET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Helmet Insure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0x948d2a81086A075b3130BAc19e4c6DEe1D2E3fE8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helmet-insure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KLO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Kalao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0xb27c8941a7Df8958A1778c0259f76D1F8B711C35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kalao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Peg Litecoin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0x4338665CBB7B2485A8855A139b75D5e34AB0DB94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binance-peg-litecoin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MBOX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Mobox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0x3203c9E46cA618C8C1cE5dC67e7e9D75f5da2377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mobox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PEFI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Penguin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0xe896CDeaAC9615145c0cA09C8Cd5C25bced6384c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penguin-finance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PTP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Platypus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0x22d4002028f537599bE9f666d1c4Fa138522f9c8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platypus-finance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0x408e41876cCCDC0F92210600ef50372656052a38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republic-protocol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RGT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Rari Governance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0xD291E7a03283640FDc51b121aC401383A46cC623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rari-governance-token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SNOB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Snowball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0xC38f41A296A4493Ff429F1238e030924A1542e50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snowball-token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SX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0x840195888Db4D6A99ED9F73FcD3B225Bb3cB1A79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sx-network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SXP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SXP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0x47BEAd2563dCBf3bF2c9407fEa4dC236fAbA485A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swipe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TUS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Treasure Under Sea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0xf693248F96Fe03422FEa95aC0aFbBBc4a8FdD172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treasure-under-sea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USTC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0x23396cF899Ca06c4472205fC903bDB4de249D6fC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wrapped-ust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VSO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Verso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0x846D50248BAf8b7ceAA9d9B53BFd12d7D7FBB25a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verso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XAVA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Avalaunch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0xd1c3f94DE7e5B45fa4eDBBA472491a9f4B166FC4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avalaunch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XRP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Peg XRP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0x1D2F0da169ceB9fC7B3144628dB156f3F6c60dBE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binance-peg-xrp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0x033d942A6b495C4071083f4CDe1f17e986FE856c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AGAR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AGA Rewards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0xF84BD51eab957c2e7B7D646A3427C5A50848281D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aga-rewards-2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ALPHA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Alpha Venture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0xa1faa113cbE53436Df28FF0aEe54275c13B40975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alpha-finance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AVE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Avaware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0x78ea17559B3D2CF85a7F9C2C704eda119Db5E6dE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avaware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BakerySwap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0xE02dF9e3e622DeBdD69fb838bB799E3F168902c5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bakerytoken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BANANA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ApeSwap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0x603c7f932ED1fc6575303D8Fb018fDCBb0f39a95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apeswap-finance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Peg Bitcoin Cash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0x8fF795a6F4D97E7887C79beA79aba5cc76444aDf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binance-peg-bitcoin-cash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BSCX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BSCEX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0x5Ac52EE5b2a633895292Ff6d8A89bB9190451587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bscex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BTCST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BTC Standard Hashrate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0x78650B139471520656b9E7aA7A5e9276814a38e9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btc-standard-hashrate-token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BURGER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BurgerCities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0xAe9269f27437f0fcBC232d39Ec814844a51d6b8f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burger-swap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Celsius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0xaaAEBE6Fe48E54f431b0C390CfaF0b017d09D42d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celsius-degree-token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CELR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Celer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0x3a8B787f78D775AECFEEa15706D4221B40F345AB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celer-network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Crabada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0xA32608e873F9DdEF944B24798db69d80Bbb4d1ed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crabada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CRAFT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TaleCraft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0x8aE8be25C23833e0A01Aa200403e826F611f9CD2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talecraft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DCAU</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Dragon Crypto Aurum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0x100Cc3a819Dd3e8573fD2E46D1E66ee866068f30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dragon-crypto-aurum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DOGE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Peg Dogecoin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0xbA2aE424d960c26247Dd6c32edC70B295c744C43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binance-peg-dogecoin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DXD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DXdao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0xC3Ae0333F0F34aa734D5493276223d95B8F9Cb37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dxdao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EOS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Peg EOS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0x56b6fB708fC5732DEC1Afc8D8556423A2EDcCbD6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binance-peg-eos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EPS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Ellipsis  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0xA7f552078dcC247C2684336020c03648500C6d9F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ellipsis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FIL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Peg Filecoin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0x0D8Ce2A99Bb6e3B7Db580eD848240e4a0F9aE153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binance-peg-filecoin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FIRE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 Phoenix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0xfcc6CE74f4cd7eDEF0C5429bB99d38A3608043a5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the-phoenix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FRONT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Frontier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0x928e55daB735aa8260AF3cEDadA18B5f70C72f1b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frontier-token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FUEL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Jetfuel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0x2090c8295769791ab7A3CF1CC6e0AA19F35e441A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fuel-token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GOHM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Governance OHM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0x321E7092a180BB43555132ec53AaA65a5bF84251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governance-ohm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Metahero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0xD40bEDb44C081D2935eebA6eF5a3c8A31A1bBE13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metahero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HUSKY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Husky AVAX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0x65378b697853568dA9ff8EaB60C13E1Ee9f4a654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husky-avax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IGG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IG Gold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0xe6FC6C7CB6d2c31b359A49A33eF08aB87F4dE7CE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ig-gold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IME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Imperium Empires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0xF891214fdcF9cDaa5fdC42369eE4F27F226AdaD6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imperium-empires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KNCL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Kyber Network Crystal Legacy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0xdd974D5C2e2928deA5F71b9825b8b646686BD200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kyber-network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LYD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Lydia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0x4C9B4E1AC6F24CdE3660D5E4Ef1eBF77C710C084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lydia-finance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0x99F40b01BA9C469193B360f72740E416B17Ac332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MCB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MUX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0x4e352cF164E64ADCBad318C3a1e222E9EBa4Ce42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mcdex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MUST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Must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0x9C78EE466D6Cb57A4d01Fd887D2b5dFb2D46288f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must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O3</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O3 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0xEe9801669C6138E84bD50dEB500827b776777d28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o3-swap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MANTRA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0xC3Ec80343D2bae2F8E680FDADDe7C17E71E114ea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mantra-dao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OMG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OMG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0xd26114cd6EE289AccF82350c8d8487fedB8A0C07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omisego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Orion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0x0258F474786DdFd37ABCE6df6BBb1Dd5dfC4434a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orion-protocol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PREMIA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Premia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0x51fC0f6660482Ea73330E414eFd7808811a57Fa2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premia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598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QI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Qi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0x580A84C73811E1839F75d86d75d88cCa0c241fF4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qi-dao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599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RDPX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Dopex Rebate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0x32Eb7902D4134bf98A28b963D26de779AF92A212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dopex-rebate-token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REEF</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Reef</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0xF21768cCBC73Ea5B6fd3C687208a7c2def2d966e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reef</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SPORE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Spore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0x6e7f5C0b9f4432716bDd0a77a3601291b9D9e985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spore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THOR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Thor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0x8F47416CaE600bccF9530E9F3aeaA06bdD1Caa79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TOKE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Tokemak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0x2e9d63788249371f1DFC918a52f8d799F4a38C94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tokemak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0x4BD17003473389A42DAF6a0a729f6Fdb328BbBd7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WEGLD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Wrapped Elrond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0xbF7c81FFF98BbE61B40Ed186e4AfD6DDd01337fe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wrapped-elrond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WOLF</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moonwolf io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0x8f18dC399594b451EdA8c5da02d0563c0b2d0f16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moonwolf-io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0XBTC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0xBitcoin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0xB6eD7644C69416d67B522e20bC294A9a9B405B31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oxbitcoin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Ambire AdEx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0xADE00C28244d5CE17D72E40330B1c318cD12B7c3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adex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ALEPH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Aleph im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0x27702a26126e0B3702af63Ee09aC4d1A084EF628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aleph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AMPL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Ampleforth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0xD46bA6D942050d489DBd938a2C909A5d5039A161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ampleforth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ANY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Anyswap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0x6aB6d61428fde76768D7b45D8BFeec19c6eF91A8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anyswap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Ariva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0x6679eB24F59dFe111864AEc72B443d1Da666B360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ariva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AUTO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Auto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0xa184088a740c695E156F91f5cC086a06bb78b827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auto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Orca AVAI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0x346A59146b9b4a77100D369a3d18E8007A9F46a6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orca-avai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AVME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AVME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0x1ECd47FF4d9598f89721A2866BFEb99505a413Ed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avme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AVXT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Avaxtars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0x397bBd6A0E41bdF4C3F971731E180Db8Ad06eBc1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avaxtars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Basis Cash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0x3449FC1Cd036255BA1EB19d65fF4BA2b8903A69a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basis-cash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BDO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bDollar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0x190b589cf9Fb8DDEabBFeae36a813FFb2A702454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bdollar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BELT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Belt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0xE0e514c71282b6f4e823703a39374Cf58dc3eA4f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belt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ETH staking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0x250632378E573c6Be1AC2f97Fcdf00515d0Aa91B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binance-eth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BOOFI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Boo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0xB00F1ad977a949a3CCc389Ca1D1282A2946963b0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boo-finance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BRY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Berry Data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0xf859Bf77cBe8699013d6Dbc7C2b926Aaf307F830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berry-data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BSCPAD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BSCPAD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0x5A3010d4d8D3B5fB49f8B6E57FB9E48063f16700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bscpad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BTCB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Bitcoin Avalanche Bridged  BTC b</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0x152b9d0FdC40C096757F570A51E494bd4b943E50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bitcoin-avalanche-bridged-btc-b</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BUNNY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Pancake Bunny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0xC9849E6fdB743d08fAeE3E34dd2D1bc69EA11a51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pancake-bunny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C98</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Coin98</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0xaEC945e04baF28b135Fa7c640f624f8D90F1C3a6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coin98</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CAP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0x031d35296154279DC1984dCD93E392b1f946737b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CGG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 Guardians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0x1613957159E9B0ac6c80e824F7Eea748a32a0AE2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chain-guardians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CHESS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Tranchess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0x20de22029ab63cf9A7Cf5fEB2b737Ca1eE4c82A6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tranchess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COOK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Cook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0x637afeff75ca669fF92e4570B14D6399A658902f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cook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COTI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COTI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0xDDB3422497E61e13543BeA06989C0789117555c5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coti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CREAM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Cream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0x2ba592F78dB6436527729929AAf6c908497cB200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cream-2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CTSI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Cartesi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0x491604c0FDF08347Dd1fa4Ee062a822A5DD06B5D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cartesi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CTX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Cryptex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0x321C2fE4446C7c963dc41Dd58879AF648838f98D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cryptex-finance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CWS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Seascape Crowns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0xbcf39F0EDDa668C58371E519AF37CA705f2bFcbd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crowns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DexTools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0xfB7B4564402E5500dB5bB6d63Ae671302777C75a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dextools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DOG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The Doge NFT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0x4425742F1EC8D98779690b5A3A6276Db85Ddc01A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the-doge-nft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DOME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Everdome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0x475bFaa1848591ae0E6aB69600f48d828f61a80E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everdome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DPI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DeFi Pulse Index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0x1494CA1F11D487c2bBe4543E90080AeBa4BA3C2b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defipulse-index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DYP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DeFi Yield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0x961C8c0B1aaD0c0b10a51FeF6a867E3091BCef17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defi-yield-protocol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EDEN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EDEN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0x1559FA1b8F28238FD5D76D9f434ad86FD20D1559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eden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EGG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Chikn Egg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0x7761E2338B35bCEB6BdA6ce477EF012bde7aE611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chikn-egg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EZ</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EasyFi V2</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0x5512014efa6Cd57764Fa743756F7a6Ce3358cC83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easyfi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FARM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Harvest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0xa0246c9032bC3A600820415aE600c6388619A14D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harvest-finance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FEI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Fei 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0x956F47F50A910163D8BF957Cf5846D573E7f87CA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fei-usd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FINE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Refinable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0x4e6415a5727ea08aAE4580057187923aeC331227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refinable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FODL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Fodl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0x4C2e59D098DF7b6cBaE0848d66DE2f8A4889b9C3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fodl-finance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FUSE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Fuse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0x970B9bB2C0444F5E81e9d0eFb84C8ccdcdcAf84d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fuse-network-token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GAJ</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Gaj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0xF4B0903774532AEe5ee567C02aaB681a81539e92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gaj</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Good Bridging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0x90842eb834cFD2A1DB0b1512B254a18E4D396215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good-bridging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Gemini Dollar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0x056Fd409E1d7A124BD7017459dFEa2F387b6d5Cd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gemini-dollar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H2O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Defrost Finance H2O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0x026187BdbC6b751003517bcb30Ac7817D5B766f8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defrost-finance-h2o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IFARM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iFARM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0xab0b2ddB9C7e440fAc8E140A89c0dbCBf2d7Bbff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ifarm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IOTX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Peg IoTeX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0x9678E42ceBEb63F23197D726B29b1CB20d0064E5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binance-peg-iotex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ISA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Islander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0x3EeFb18003D033661f84e48360eBeCD181A84709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islander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JGN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Juggernaut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0xC13B7a43223BB9Bf4B69BD68Ab20ca1B79d81C75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juggernaut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KEEP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Keep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0x85Eee30c52B0b379b046Fb0F85F4f3Dc3009aFEC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keep-network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KP3R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Keep3rV1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0x1cEB5cB57C4D4E2b2433641b95Dd330A33185A44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keep3rv1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KRILL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Polywhale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0x05089C9EBFFa4F0AcA269e32056b1b36B37ED71b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polywhale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KUN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Chemix Ecology Governance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0x1A2fb0Af670D0234c2857FaD35b789F8Cb725584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chemix-ecology-governance-token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Linear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0x762539b45A1dCcE3D36d080F74d1AED37844b878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linear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LTO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LTO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0x857B222Fc79e1cBBf8Ca5f78CB133d1b7CF34BBd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lto-network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MCRN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MacaronSwap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0xacb2d47827C9813AE26De80965845D80935afd0B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macaronswap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MLN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Enzyme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0xec67005c4E498Ec7f55E092bd1d35cbC47C91892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melon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MONA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Monavale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0x6968105460f67c3BF751bE7C15f92F5286Fd0CE5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monavale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MTA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mStable Governance  Meta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0xa3BeD4E1c75D00fa6f4E5E6922DB7261B5E9AcD2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meta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NRV</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Nerve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0x42F6f551ae042cBe50C739158b4f0CAC0Edb9096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nerve-finance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NU</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NuCypher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0x4fE83213D56308330EC302a8BD641f1d0113A4Cc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nucypher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OGN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Origin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0x8207c1FfC5B6804F6024322CcF34F29c3541Ae26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origin-protocol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 Peg Ontology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0xFd7B3A77848f1C2D67E05E54d78d174a0C850335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binance-peg-ontology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PERL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PERL eco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0x0F9E4D49f25de22c2202aF916B681FBB3790497B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perlin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PlotX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0xe82808eaA78339b06a691fd92E1Be79671cAd8D3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plotx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PNK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Kleros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0x93ED3FBe21207Ec2E8f2d3c3de6e058Cb73Bc04d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kleros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Polymath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0x9992eC3cF6A55b00978cdDF2b27BC6882d88D1eC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polymath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POTS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Moonpot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0x3Fcca8648651E5b974DD6d3e50F61567779772A8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moonpot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RACA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Radio Caca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0x12BB890508c125661E03b09EC06E404bc9289040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radio-caca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RAMP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RAMP  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0x8519EA49c997f50cefFa444d240fB655e89248Aa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ramp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RARI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Rarible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0xFca59Cd816aB1eaD66534D82bc21E7515cE441CF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rarible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RENBTC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renBTC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0xEB4C2781e4ebA804CE9a9803C67d0893436bB27D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renbtc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Augur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0x221657776846890989a759BA2973e427DfF5C9bB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augur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ROCO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Roco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0xb2a85C5ECea99187A977aC34303b80AcbDdFa208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roco-finance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ROOK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Rook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0xfA5047c9c78B8877af97BDcb85Db743fD7313d4a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rook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ROUTE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Router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0x16ECCfDbb4eE1A85A33f3A9B21175Cd7Ae753dB4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route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SDT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0x73968b9a57c6E53d41345FD57a6E6ae27d6CDB2F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SFUND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Seedify fund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0x477bC8d23c634C154061869478bce96BE6045D12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seedify-fund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SHIBX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Shibavax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0x440aBbf18c54b2782A4917b80a1746d3A2c2Cce1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shibavax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SOS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OpenDAO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0x3b484b82567a09e2588A13D54D032153f0c0aEe0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opendao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SRM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Serum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0x476c5E26a75bd202a9683ffD34359C0CC15be0fF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serum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STARL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StarLink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0x8E6cd950Ad6ba651F6DD608Dc70e5886B1AA6B24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starlink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SUPER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SuperFarm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0xe53EC727dbDEB9E2d5456c3be40cFF031AB40A55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superfarm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0xA970AF1a584579B618be4d69aD6F73459D112F95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SWPR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Swapr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0xdE903E2712288A1dA82942DDdF2c20529565aC30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swapr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TITAN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IRON Titanium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0xaAa5B9e6c589642f98a1cDA99B9D024B8407285A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iron-titanium-token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TPT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TokenPocket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0xECa41281c24451168a37211F0bc2b8645AF45092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token-pocket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TRADE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Unitrade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0x7af173F350D916358AF3e218Bdf2178494Beb748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unitrade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TRIBE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Tribe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0xc7283b66Eb1EB5FB86327f08e1B5816b0720212B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tribe-2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TRU</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TrueFi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0x4C19596f5aAfF459fA38B0f7eD92F11AE6543784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truefi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698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TRON  BSC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0x85EAC5Ac2F758618dFa09bDbe0cf174e7d574D5B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tron-bsc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699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Teddy Dollar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0x4fbf0429599460D327BD5F55625E30E4fC066095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teddy-dollar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UBT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Unibright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0x8400D94A5cb0fa0D041a3788e395285d61c9ee5e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unibright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UFO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UFO Gaming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0x249e38Ea4102D0cf8264d3701f1a0E39C4f2DC3B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ufo-gaming</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USDP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Pax Dollar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0x8E870D67F660D95d5be530380D0eC0bd388289E1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paxos-standard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UST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TerraUSD  Wormhole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0xa693B19d2931d498c5B318dF961919BB4aee87a5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terrausd-wormhole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VISION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APY vision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0x034b2090b579228482520c589dbD397c53Fc51cC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apy-vision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VISR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Visor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0x995C235521820f2637303Ca1970c7c044583df44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visor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Weble Ecosystem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0xB1466d4cf0DCfC0bCdDcf3500F473cdACb88b56D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weble-ecosystem-token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WEX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WaultSwap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0xa9c41A46a6B3531d28d5c32F6633dd2fF05dFB90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waultswap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XFT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Offshift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0xABe580E7ee158dA464b51ee1a83Ac0289622e6be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offshift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ZIL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Zilliqa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0xb86AbCb37C3A4B64f74f59301AFF131a1BEcC787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zilliqa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8PAY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8Pay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0xFeea0bDd3D07eb6FE305938878C0caDBFa169042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8pay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ABNBC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Ankr Reward Bearing Stake BNB</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0xE85aFCcDaFBE7F2B096f268e31ccE3da8dA2990A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ankr-reward-bearing-stake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AELIN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Aelin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0x61BAADcF22d2565B0F471b291C475db5555e0b76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aelin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AETHC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Ankr Reward Bearing Staked 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0xE95A203B1a91a908F9B9CE46459d101078c2c3cb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ankreth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AKRO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Akropolis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0x8Ab7404063Ec4DBcfd4598215992DC3F8EC853d7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akropolis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ALGB</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Algebra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0x0169eC1f8f639B32Eec6D923e24C2A2ff45B9DD6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algebra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Alpaca City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0xc5E6689C9c8B02be7C49912Ef19e79cF24977f03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alpaca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AMAAVE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Polygon AAVE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0x1d2a0E5EC8E5bBDCA5CB219e649B565d8e5c3360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aave-polygon-aave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ANRX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AnRKey 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0x554f074d9cCda8F483d1812d4874cBebD682644E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anrkey-x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ANT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Aragon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0xa117000000f279D81A1D3cc75430fAA017FA5A2e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aragon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ARIA20</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Arianee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0x46F48FbdedAa6F5500993BEDE9539ef85F4BeE8e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arianee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ARPA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ARPA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0x6F769E65c14Ebd1f68817F5f1DcDb61Cfa2D6f7e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arpa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AirSwap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0x27054b13b1B798B345b591a4d22e6562d47eA75a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airswap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Auctus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0xc12d099be31567add4e4e4d0D45691C3F58f5663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auctus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AUCTION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Bounce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0xA9B1Eb5908CfC3cdf91F9B8B3a74108598009096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auction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AUDIO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Audius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0x18aAA7115705e8be94bfFEBDE57Af9BFc265B998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audius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AXIAL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Axial Token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0xcF8419A615c57511807236751c0AF38Db4ba3351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axial-token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AZUKI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Azuki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0x7CdC0421469398e0F3aA8890693d86c840Ac8931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azuki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BABYCAKE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 Cake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0xdB8D30b74bf098aF214e862C90E647bbB1fcC58c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baby-cake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BANK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Bankless 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0x2d94AA3e47d9D5024503Ca8491fcE9A2fB4DA198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bankless-dao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Bao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0x374CB8C27130E2c9E04F44303f3c8351B9De61C1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bao-finance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BEL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Bella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0x8443f091997f06a61670B735ED92734F5628692F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bella-protocol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BFI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Bearn fi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0x81859801b01764D4f0Fa5E64729f5a6C3b91435b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bearn-fi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BICO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Biconomy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0xF17e65822b568B3903685a7c9F496CF7656Cc6C2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biconomy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0x1A4b46696b2bB4794Eb3D4c26f1c55F9170fa4C5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BLZ</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Bluzelle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0x5732046A883704404F284Ce41FfADd5b007FD668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bluzelle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BMON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Binamon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0x08ba0619b1e7A582E0BCe5BBE9843322C954C340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binamon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BONDLY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Forj</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0x5D0158A5c3ddF47d4Ea4517d8DB0D76aA2e87563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bondly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BORING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BoringDAO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0xffEecbf8D7267757c2dc3d13D730E97E15BfdF7F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boringdao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BPT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Bold Point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0x1111111111182587795eF1098ac7da81a108C97a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bold-point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BSGG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Betswap gg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0x63682bDC5f875e9bF69E201550658492C9763F89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betswap-gg</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BTTOLD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BitTorrent  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0x8595F9dA7b868b1822194fAEd312235E43007b49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bittorrent-old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BUX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BUX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0x211FfbE424b90e25a15531ca322adF1559779E45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blockport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BZRX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bZx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0x56d811088235F11C8920698a204A5010a788f4b3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bzx-protocol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CETH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cETH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0x4Ddc2D193948926D02f9B1fE9e1daa0718270ED5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compound-ether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CLY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Colony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0xec3492a2508DDf4FDc0cD76F31f340b30d1793e6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colony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COMBO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Furucombo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0xfFffFffF2ba8F66D4e51811C5190992176930278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furucombo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CORE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cVault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0x62359Ed7505Efc61FF1D56fEF82158CcaffA23D7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cvault-finance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COVAL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Circuits of Value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0x3D658390460295FB963f54dC0899cfb1c30776Df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circuits-of-value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CQT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Covalent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0xD417144312DbF50465b1C641d016962017Ef6240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covalent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CUSDC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cUSDC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0x39AA39c021dfbaE8faC545936693aC917d5E7563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compound-usd-coin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CVC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Civic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0x41e5560054824eA6B0732E656E3Ad64E20e94E45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civic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CVP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PowerPool Concentrated Voting Power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0x38e4adB44ef08F22F5B5b76A8f0c2d0dCbE7DcA1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concentrated-voting-power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CYC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Cyclone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0x810EE35443639348aDbbC467b33310d2AB43c168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cyclone-protocol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CYCLE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Cycle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0x81440C939f2C1E34fc7048E518a637205A632a74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cycle-token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DDX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DerivaDAO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0x3A880652F47bFaa771908C07Dd8673A787dAEd3A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derivadao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 Index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0x126c121f99e1E211dF2e5f8De2d96Fa36647c855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degen-index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DERC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DeRace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0x9fa69536d1cda4A04cFB50688294de75B505a9aE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derace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Dev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0x5cAf454Ba92e6F2c929DF14667Ee360eD9fD5b26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dev-protocol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DF</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dForce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0x431ad2ff6a9C365805eBaD47Ee021148d6f7DBe0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dforce-token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DFX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DFX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0xE7804D91dfCDE7F776c90043E03eAa6Df87E6395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dfx-finance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DFYN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Dfyn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0xC168E40227E4ebD8C1caE80F7a55a4F0e6D66C97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dfyn-network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Decentral Games  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0x2a93172c8DCCbfBC60a39d56183B7279a2F647b4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decentral-games-old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DHT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dHEDGE 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0xca1207647Ff814039530D7d35df0e1Dd2e91Fa84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dhedge-dao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DMT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Dark Matter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0xd28449BB9bB659725aCcAd52947677ccE3719fD7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dark-matter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DNT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district0x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0x0AbdAce70D3790235af448C88547603b945604ea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district0x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DSLA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DSLA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0xa0E390e9ceA0D0e8cd40048ced9fA9EA10D71639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stacktical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DUCK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Unit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0x92E187a03B6CD19CB6AF293ba17F2745Fd2357D5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unit-protocol-duck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DVF</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Rhino fi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0xDDdddd4301A082e62E84e43F474f044423921918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rhinofi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ERSDL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unFederalReserve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0x5218E472cFCFE0b64A064F055B43b4cdC9EfD3A6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unfederalreserve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ETH2X-FLI-P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Index Coop   ETH 2x Flexible Leverage 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0x3Ad707dA309f3845cd602059901E39C4dcd66473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index-coop-eth-2x-flexible-leverage-index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EXRD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e Radix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0x6468e79A80C0eaB0F9A2B574c8d5bC374Af59414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e-radix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FEED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chikn feed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0xab592d197ACc575D16C3346f4EB70C703F308D1E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chikn-feed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FOR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ForTube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0x658A109C5900BC6d2357c87549B651670E5b0539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force-protocol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FUN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0x419D0d8BdD9aF5e606Ae2232ed285Aff190E711b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funfair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GAME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GameCredits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0x8d1566569d5b695d44a9a234540f68D393cDC40D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gamecredits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GDL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Gondola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0xD606199557c8Ab6F4Cc70bD03FaCc96ca576f142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gondola-finance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GFARM2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Gains Farm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0x7075cAB6bCCA06613e2d071bd918D1a0241379E2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gains-farm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Gitcoin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0xDe30da39c46104798bB5aA3fe8B9e0e1F348163F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gitcoin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GUM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Gourmet Galaxy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0xc53708664b99DF348dd27C3Ac0759d2DA9c40462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gourmetgalaxy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GYEN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GYEN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0xC08512927D12348F6620a698105e1BAac6EcD911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gyen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HAY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Destablecoin HAY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0x0782b6d8c4551B9760e74c0545a9bCD90bdc41E5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helio-protocol-hay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HeroesChained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0xC7f4debC8072e23fe9259A5C0398326d8EfB7f5c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heroeschained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HEZ</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Hermez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0xEEF9f339514298C6A857EfCfC1A762aF84438dEE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hermez-network-token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HND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Hundred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0x10010078a54396F62c96dF8532dc2B4847d47ED3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hundred-finance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HON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Heroes of NFT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0xEd2b42D3C9c6E97e11755BB37df29B6375ede3EB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heroes-of-nft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HOT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Holo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0x6c6EE5e31d828De241282B9606C8e98Ea48526E2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holotoken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Huobi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0x6f259637dcD74C767781E37Bc6133cd6A68aa161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huobi-token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HUSD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HUSD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0xdF574c24545E5FfEcb9a659c229253D4111d87e1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husd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ICE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Popsicle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0xf16e81dce15B08F326220742020379B855B87DF9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ice-token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IF</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Impossible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0xB0e1fc65C1a741b4662B813eB787d369b8614Af1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impossible-finance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INSUR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InsurAce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0x3192CCDdf1CDcE4Ff055EbC80f3F0231b86A7E30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insurace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INV</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Inverse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0x41D5D79431A913C4aE7d69a668ecdfE5fF9DFB68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inverse-finance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IRIS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Iris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0xdaB35042e63E93Cc8556c9bAE482E5415B5Ac4B1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iris-token-2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IRON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Iron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0xD86b5923F3AD7b585eD81B448170ae026c65ae9a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iron-stablecoin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JPYC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JPY Coin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0x6AE7Dfc73E0dDE2aa99ac063DcF7e8A63265108c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jpyc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JRT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Jarvis Reward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0x8A9C67fee641579dEbA04928c4BC45F66e26343A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jarvis-reward-token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KISHU</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Kishu Inu</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0xA2b4C0Af19cC16a6CfAcCe81F192B024d625817D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kishu-inu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798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KLIMA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Klima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0x4e78011Ce80ee02d2c3e649Fb657E45898257815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klima-dao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799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KNC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Kyber Network Crystal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0x1C954E8fe737F99f68Fa1CCda3e51ebDB291948C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kyber-network-crystal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KOM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Kommunitas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0xC004e2318722EA2b15499D6375905d75Ee5390B8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kommunitas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LCX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LCX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0x037A54AaB062628C9Bbae1FDB1583c195585fe41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lcx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LEND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0x80fB784B7eD66730e8b1DBd9820aFD29931aab03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ethlend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0x5d684ADaf3FcFe9CFb5ceDe3abf02F0Cdd1012E3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lien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LON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Tokenlon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0x0000000000095413afC295d19EDeb1Ad7B71c952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tokenlon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LOST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Lost World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0x449674B82F05d498E126Dd6615a1057A9c088f2C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lost-world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LUNC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Terra Classic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0xd2877702675e6cEb975b4A1dFf9fb7BAF4C91ea9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wrapped-terra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LYRA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Lyra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0x50c5725949A6F0c72E6C4a641F24049A917DB0Cb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lyra-finance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MAHA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MahaDAO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0xB4d930279552397bbA2ee473229f89Ec245bc365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mahadao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MARSH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Unmarshal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0x2FA5dAF6Fe0708fBD63b1A7D1592577284f52256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unmarshal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MASQ</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MASQ</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0x06F3C323f0238c72BF35011071f2b5B7F43A054c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masq</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MDT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Measurable Data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0x814e0908b12A99FeCf5BC101bB5d0b8B5cDf7d26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measurable-data-token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Mirror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0x09a3EcAFa817268f77BE1283176B946C4ff2E608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mirror-protocol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MIST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Alchemist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0x88ACDd2a6425c3FaAE4Bc9650Fd7E27e0Bebb7aB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alchemist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MOD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Modefi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0x8346Ab8d5EA7A9Db0209aEd2d1806AFA0E2c4C21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modefi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MTL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Metal 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0xF433089366899D83a9f26A773D59ec7eCF30355e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metal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MULTI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Multichain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0x65Ef703f5594D2573eb71Aaf55BC0CB548492df4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multichain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MYST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Mysterium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0x1379E8886A944d2D9d440b3d88DF536Aea08d9F3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mysterium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NCT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PolySwarm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0x9E46A38F5DaaBe8683E10793b06749EEF7D733d1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polyswarm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NDX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Indexed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0x86772b1409b61c639EaAc9Ba0AcfBb6E238e5F83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indexed-finance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NFTX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NFTX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0x87d73E916D7057945c9BcD8cdd94e42A6F47f776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nftx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NYAN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ArbiNYAN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0xeD3fB761414DA74b74F33e5c5a1f78104b188DfC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arbinyan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ODDZ</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Oddz</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0xCD40F2670CF58720b694968698A5514e924F742d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oddz</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OMEN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Augury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0x76e63a3E7Ba1e2E61D3DA86a87479f983dE89a7E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augury-finance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OOE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OpenOcean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0x0ebd9537A25f56713E34c45b38F421A1e7191469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openocean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OPIUM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Opium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0x888888888889C00c67689029D7856AAC1065eC11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opium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ORBS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Orbs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0xeBd49b26169e1b52c04cFd19FCf289405dF55F80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orbs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ORCA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Orca DAO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0x8B1d98A91F853218ddbb066F20b8c63E782e2430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orcadao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OXT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Orchid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0x4575f41308EC1483f3d399aa9a2826d74Da13Deb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orchid-protocol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pTokens BTC  OLD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0xeD28A457A5A76596ac48d87C0f577020F6Ea1c4C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ptokens-btc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PECO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Amun Polygon Ecosystem Index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0xA9536B9c75A9E0faE3B56a96AC8EdF76AbC91978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polygon-ecosystem-index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PICKLE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Pickle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0x429881672B9AE42b8EbA0E26cD9C73711b891Ca5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pickle-finance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PLU</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Pluton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0xD8912C10681D8B21Fd3742244f44658dBA12264E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pluton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POLAR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POLAR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0x6C1c0319d8dDcb0ffE1a68C5b3829Fd361587DB4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polar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Polkastarter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0x83e6f1E41cdd28eAcEB20Cb649155049Fac3D5Aa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polkastarter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POLYBUNNY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Pancake Bunny Polygon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0x4C16f69302CcB511c5Fac682c7626B9eF0Dc126a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bunny-token-polygon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POND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Marlin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0x57B946008913B82E4dF85f501cbAeD910e58D26C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marlin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PPDEX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Pepedex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0x127984b5E6d5c59f81DACc9F1C8b3Bdc8494572e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pepedex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PRE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Presearch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0xEC213F83defB583af3A000B1c0ada660b1902A0F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presearch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PROM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Prom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0xaF53d56ff99f1322515E54FdDE93FF8b3b7DAFd5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prometeus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PRQ</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PARSIQ</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0x362bc847A3a9637d3af6624EeC853618a43ed7D2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parsiq</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PSP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ParaSwap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0xcAfE001067cDEF266AfB7Eb5A286dCFD277f3dE5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paraswap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QRDO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Qredo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0x4123a133ae3c521FD134D7b13A2dEC35b56c2463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qredo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RACEX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RaceX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0x7086e045b78E1e72F741F25231c08d238812CF8a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racex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Radicle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0x31c8EAcBFFdD875c74b94b077895Bd78CF1E64A3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radicle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RBC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Rubic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0xA4EED63db85311E22dF4473f87CcfC3DaDCFA3E3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rubic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RCN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Ripio Credit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0xF970b8E36e23F7fC3FD752EeA86f8Be8D83375A6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ripio-credit-network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RENBCH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renBCH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0x459086F2376525BdCebA5bDDA135e4E9d3FeF5bf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renbch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RENZEC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renZEC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0x1C5db575E2Ff833E46a2E9864C22F4B22E0B37C2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renzec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RFG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Refugees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0x4477b28E8b797eBaebd2539bb24290Fdfcc27807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refugees-token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RFOX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RFOX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0x0a3A21356793B49154Fd3BbE91CBc2A16c0457f5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redfox-labs-2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RLY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Rally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0xf1f955016EcbCd7321c7266BccFB96c68ea5E49b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rally-2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RUNE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THORChain  ERC20</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0x3155BA85D5F96b2d030a4966AF206230e46849cb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thorchain-erc20</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SAFLE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Safle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0x04b33078Ea1aEf29bf3fB29c6aB7B200C58ea126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safle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SBDO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bDollar Share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0x0d9319565be7f53CeFE84Ad201Be3f40feAE2740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bdollar-share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Optimism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0xE405de8F52ba7559f9df3C368500B6E6ae6Cee49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SETH2</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sETH2</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0xFe2e637202056d30016725477c5da089Ab0A043A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seth2</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saffron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0xb753428af26E81097e7fD17f40c88aaA3E04902c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saffron-finance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Siren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0xD23Ac27148aF6A2f339BD82D0e3CFF380b5093de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siren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SKILL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CryptoBlades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0x154A9F9cbd3449AD22FDaE23044319D6eF2a1Fab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cryptoblades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SKL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SKALE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0x00c83aeCC790e8a4453e5dD3B0B4b3680501a7A7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skale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SMRTR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SmarterCoin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0x6D923f688C7FF287dc3A5943CAeefc994F97b290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smart-coin-smrtr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SNT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Status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0x744d70FDBE2Ba4CF95131626614a1763DF805B9E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status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SPANK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SpankChain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0x42d6622deCe394b54999Fbd73D108123806f6a18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spankchain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SPS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Splintershards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0x1633b7157e7638C4d6593436111Bf125Ee74703F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splinterlands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STACK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StackOS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0x6855f7bb6287F94ddcC8915E37e73a3c9fEe5CF3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stackos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STAKE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0x0Ae055097C6d159879521C384F1D2123D1f195e6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xdai-stake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StableXSwap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0x0Da6Ed8B13214Ff28e9Ca979Dd37439e8a88F6c4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stablexswap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STMATIC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Lido Staked Matic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0x3A58a54C066FdC0f2D55FC9C89F0415C92eBf3C4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lido-staked-matic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STRONG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Strong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0x990f341946A3fdB507aE7e52d17851B87168017c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strong</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STRP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Strips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0x326c33FD1113c1F29B35B4407F3d6312a8518431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strips-finance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SUKU</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SUKU</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0x0763fdCCF1aE541A5961815C0872A8c5Bc6DE4d7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suku</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SWAP</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Trustswap</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0xCC4304A31d09258b0029eA7FE63d032f52e44EFe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trustswap</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SWINGBY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Swingby</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0x71DE20e0C4616E7fcBfDD3f875d568492cBE4739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swingby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TCR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Tracer 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0xA72159FC390f0E3C6D415e658264c7c4051E9b87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tracer-dao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THG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Thetan Arena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0x9fD87aEfe02441B123c3c32466cD9dB4c578618f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thetan-arena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TIME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chrono tech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0x485d17A6f1B8780392d53D64751824253011A260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chronobank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TUNDRA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Tundra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0x21c5402C3B7d40C89Cc472C9dF5dD7E51BbAb1b1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tundra-token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TVK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 Virtua Kolect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0xd084B83C305daFD76AE3E1b4E1F1fe2eCcCb3988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the-virtua-kolect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TXL</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Autobahn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0x1FFD0b47127fdd4097E54521C9E2c7f0D66AafC5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autobahn-network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UBXT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UpBots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0xBbEB90cFb6FAFa1F69AA130B7341089AbeEF5811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upbots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VTX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Vector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0x5817D4F0b62A59b17f75207DA1848C2cE75e7AF4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vector-finance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WATCH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Yieldwatch</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0x7A9f28EB62C791422Aa23CeAE1dA9C847cBeC9b0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yieldwatch</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WMEMO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Wonderful Memories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0x0da67235dD5787D67955420C84ca1cEcd4E5Bb3b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wrapped-memory</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WNXM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NXM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0x0d438F3b5175Bebc262bF23753C1E53d03432bDE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wrapped-nxm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WOM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Wombat Exchange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0xAD6742A35fB341A9Cc6ad674738Dd8da98b94Fb1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wombat-exchange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WONE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 One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0x03fF0ff224f904be3118461335064bB48Df47938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wrapped-one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WOOP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Woonkly Power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0x8b303d5BbfBbf46F1a4d9741E491e06986894e18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woonkly-power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WRX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WazirX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0x72d6066F486bd0052eefB9114B66ae40e0A6031a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wazirx</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X2Y2</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X2Y2</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0x1E4EDE388cbc9F4b5c79681B7f94d36a11ABEBC9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x2y2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XCHF</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CryptoFranc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0xB4272071eCAdd69d933AdcD19cA99fe80664fc08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cryptofranc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XDEFI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XDEFI</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0x72B886d09C117654aB7dA13A14d603001dE0B777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xdefi</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XED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Exeedme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0x5621b5A3f4a8008c4CCDd1b942B121c8B1944F1f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exeedme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XEND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Xend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0x4a080377f83D669D7bB83B3184a8A5E61B500608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xend-finance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XGEM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Exchange Genesis Ethlas Medium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0x02649C1Ff4296038De4b9bA8F491b42b940A8252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exchange-genesis-ethlas-medium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XMARK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xMARK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0x26A5dFab467d4f58fB266648CAe769503CEC9580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xmark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XOR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Sora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0x40FD72257597aA14C7231A7B1aaa29Fce868F677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sora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XPR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Proton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0xD7EFB00d12C2c13131FD319336Fdf952525dA2af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proton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898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XSUSHI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xSUSHI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0x8798249c2E607446EfB7Ad49eC89dD1865Ff4272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xsushi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899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YAY</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YAY Games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0x01C2086faCFD7aA38f69A6Bd8C91BEF3BB5adFCa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yay-games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YFII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DFI money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0xa1d0E215a23d7030842FC67cE582a6aFa3CCaB83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yfii-finance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YTS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YetiSwap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0x488F73cddDA1DE3664775fFd91623637383D6404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yetiswap</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YUSD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YUSD Stablecoin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0x111111111111ed1D73f860F57b2798b683f2d325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yusd-stablecoin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903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ZOO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ZooKeeper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0x1B88D7aD51626044Ec62eF9803EA264DA4442F32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zookeeper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aAVAXb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Ankr Reward-Earning Staked AVAX</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0x6C6f910A79639dcC94b4feEF59Ff507c2E843929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ankr-avalanche-reward-earning-bond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905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0XMR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0xMonero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0x035dF12E0F3ac6671126525f1015E47D79dFEDDF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0xmonero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2KEY</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2key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0xE48972fCd82a274411c01834e2f031D4377Fa2c0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2key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907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ABAT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BAT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0xE1BA0FB44CCb0D11b80F92f4f8Ed94CA3fF51D00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aave-bat-v1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908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ABI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Abachi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0x6d5f5317308C6fE7D6CE16930353a8Dfd92Ba4D7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abachi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909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ABLOCK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ANY Blocknet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0xC931f61B1534EB21D8c11B24f3f5Ab2471d4aB50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any-blocknet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910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ABYSS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Abyss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0x0E8d6b471e332F140e7d9dbB99E5E3822F728DA6</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the-abyss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ACAR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AGA Carbon Rewards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0xcBce9f77921C2E90522d438dF4C5582F4c617768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aga-carbon-rewards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912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ACRE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Arable Protocol</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0x00EE200Df31b869a321B10400Da10b561F3ee60d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arable-protocol</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ACS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ACryptoS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0x4197C6EF3879a08cD51e5560da5064B773aa1d29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acryptos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914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ACSI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ACryptoSI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0x5b17b4d5e4009B5C43e3e3d63A5229F794cBA389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acryptosi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ADAI</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DAI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0xfC1E690f61EFd961294b3e1Ce3313fBD8aa4f85d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aave-dai-v1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916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DAI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0x82E64f49Ed5EC1bC6e43DAD4FC8Af9bb3A2312EE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ADOGE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ArbiDoge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0x155f0DD04424939368972f4e1838687d6a831151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arbidoge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918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Adshares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0xcfcEcFe2bD2FED07A9145222E8a7ad9Cf1Ccd22A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adshares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919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AERGO</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Aergo</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0x91Af0fBB28ABA7E31403Cb457106Ce79397FD4E6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aergo</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 Carbon Credit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0x669ddc70273084Ea30e6cd4f28CA6e2C70735065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aga-carbon-credit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921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AGF</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Augmented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0xb67a9374Da03d4114a6FB8f0E7F2b82b5cB34ee3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augmented-finance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AGLD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Adventure Gold</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0x32353A6C91143bfd6C7d363B546e62a9A2489A20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adventure-gold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923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AKITAX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Akitavax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0xE06fba763C2104dB5027F57f6A5Be0a0D86308af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akitavax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AKNC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KNC 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0x9D91BE44C06d373a8a226E1f3b146956083803eB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aave-knc-v1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925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ALBT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AllianceBlock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0x9E037dE681CaFA6E661e6108eD9c2bd1AA567Ecd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allianceblock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ALINK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LINK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0x191c10Aa4AF7C30e871E70C95dB0E4eb77237530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aave-link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927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ALINK</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LINK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0xA64BD6C70Cb9051F6A9ba1F163Fdc07E0DfB5F84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aave-link-v1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928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ALU</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Altura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0x8263CD1601FE73C066bf49cc09841f35348e3be0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altura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929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ALUSD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Alchemix USD</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0xBC6DA0FE9aD5f3b0d58160288917AA56653660E9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alchemix-usd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930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AMANA</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MANA 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0x6FCE4A401B6B80ACe52baAefE4421Bd188e76F6f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aave-mana-v1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AMATICC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Ankr Reward Earning MATIC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0x0E9b89007eEE9c958c0EDA24eF70723C2C93dD58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ankr-reward-earning-matic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932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AMDAI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Polygon DAI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0x27F8D03b3a2196956ED754baDc28D73be8830A6e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aave-polygon-dai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AMKR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MKR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0x7deB5e830be29F91E298ba5FF1356BB7f8146998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aave-mkr-v1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934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AMUSDC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Polygon USDC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0x1a13F4Ca1d028320A707D99520AbFefca3998b7F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aave-polygon-usdc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AMUSDT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Polygon USDT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0x60D55F02A771d515e077c9C2403a1ef324885CeC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aave-polygon-usdt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936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AMWBTC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Polygon WBTC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0x5c2ed810328349100A66B82b78a1791B101C9D61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aave-polygon-wbtc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AMWETH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Polygon WETH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0x28424507fefb6f7f8E9D3860F56504E4e5f5f390</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aave-polygon-weth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938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AMWMATIC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Polygon WMATIC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0x8dF3aad3a84da6b69A4DA8aeC3eA40d9091B2Ac4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aave-polygon-wmatic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939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ANN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Annex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0x98936Bde1CF1BFf1e7a8012Cee5e2583851f2067</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annex</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AOG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AgeOfGods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0x40C8225329Bd3e28A043B029E0D07a5344d2C27C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ageofgods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941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APEIN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Ape In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0x938FE3788222A74924E062120E7BFac829c719Fb</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ape-in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APW</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APWine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0x4104b135DBC9609Fc1A9490E61369036497660c8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apwine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943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APX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ApolloX</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0x78F5d389F5CDCcFc41594aBaB4B0Ed02F31398b3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apollox-2</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Arbis Finance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0x9f20de1fc9b161b34089cbEAE888168B44b03461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arbis-finance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945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ARBYS</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Arbys</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Arbitrum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0x86A1012d437BBFf84fbDF62569D12d4FD3396F8c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arbys</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ARCH</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Archer DAO Governance</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0x1F3f9D3068568F8040775be2e8C03C103C61f3aF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archer-dao-governance-token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947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ARCX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ARC Governance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0x1321f1f1aa541A56C31682c57b80ECfCCd9bB288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arc-governance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948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ARMOR</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ARMOR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0x1337DEF16F9B486fAEd0293eb623Dc8395dFE46a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armor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949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ARNXM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Armor NXM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0x1337DEF18C680aF1f9f45cBcab6309562975b1dD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armor-nxm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950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ASKO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Asko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0xeEEE2a622330E6d2036691e983DEe87330588603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askobar-network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ASNX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SNX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0x328C4c80BC7aCa0834Db37e6600A6c49E12Da4DE</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aave-snx-v1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952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ASUSD</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SUSD 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0x625aE63000f46200499120B906716420bd059240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aave-susd-v1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Automata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0xA2120b9e674d3fC3875f415A7DF52e382F141225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automata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954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ATIS</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Atlantis ATIS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0x821144518dfE9e7b44fCF4d0824e15e8390d4637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atlantis-token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ATUSD</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TUSD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0x4DA9b813057D04BAef4e5800E36083717b4a0341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aave-tusd-v1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956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AURUM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Raider Aurum</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0x34d4ab47Bee066F361fA52d792e69AC7bD05ee23</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raider-aurum</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AUSDC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USDC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0x625E7708f30cA75bfd92586e17077590C60eb4cD</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aave-usdc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958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AUSDC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USDC 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0x9bA00D6856a4eDF4665BcA2C2309936572473B7E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aave-usdc-v1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959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AUSDT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USDT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0x71fc860F7D3A592A4a98740e39dB31d25db65ae8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aave-usdt-v1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AUSDT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USDT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0x6ab707Aca953eDAeFBc4fD23bA73294241490620</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aave-usdt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961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AWBTC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WBTC v1</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0xFC4B8ED459e00e5400be803A9BB3954234FD50e3</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aave-wbtc-v1</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AWBTC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WBTC</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0x078f358208685046a11C85e8ad32895DED33A249</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aave-wbtc</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963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AWETH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Aave WETH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Avalanche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0xe50fA9b3c56FfB159cB0FCA61F5c9D750e8128c8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aave-weth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AZRX</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 ZRX v1</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0x6Fb0855c404E09c47C3fBCA25f08d4E41f9F062f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aave-zrx-v1</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965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Base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0x07150e919B4De5fD6a63DE1F9384828396f25fDC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base-protocol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BASK</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BasketDAO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0x44564d0bd94343f72E3C8a0D22308B7Fa71DB0Bb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basketdao</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967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BBTC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Binance Wrapped BTC</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0x9BE89D2a4cd102D8Fecc6BF9dA793be995C22541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binance-wrapped-btc</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968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BCDT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EvidenZ</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0xAcfa209Fb73bF3Dd5bBfb1101B9Bc999C49062a5</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blockchain-certified-data-token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969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BCMC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Blockchain Monster Hunt</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0xc10358f062663448a3489fC258139944534592ac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blockchain-monster-hunt</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970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BCOIN</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BombCrypto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0x00e1656e45f18ec6747F5a8496Fd39B50b38396D</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bomber-coin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BCT</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Toucan Protocol  Base Carbon Tonne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Polygon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0x2F800Db0fdb5223b3C3f354886d907A671414A7F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toucan-protocol-base-carbon-tonne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972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BEPRO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BEPRO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0xCF3C8Be2e2C42331Da80EF210e9B1b307C03d36A</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bepro-network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BETA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Beta Finance</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0xBe1a001FE942f96Eea22bA08783140B9Dcc09D28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beta-finance</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974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SUI</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Sui</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0x998abeb3e57409262ae5b751f60747921b33613e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sui</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NEAR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NEAR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0x85f17cf997934a597031b2e18a9ab6ebd4b9f6a4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near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976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TAO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Bittensor</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0x77e06c9eccf2e797fd462a92b6d7642ef85b0a44</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bittensor</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RENDER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Render</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0x6de037ef9ad2725eb40118bb1702ebb27e4aeb24</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render-token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978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Aptos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0x14f8b8ba1e427dc1deb44f42e59cba84e6a1c67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aptos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979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THETA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Theta Network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0x3883f5e181fccaf8410fa61e12b59bad963fb645</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theta-token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ALGO</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ALGO</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0x27702a26126e0b3702af63ee09ac4d1a084ef628</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algorand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981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ICP</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ICP</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0x054b8f19843a8293b49a4e4d7b55d3982e7cf63f</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internet-computer</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VET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VeChain</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0xd850942ef8811f2a866692a623011bde52a462c1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vechain</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983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ZEN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Horizen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0xe7a6d3ff9f47e4e5d5e9e5f2d13b88e3a4e1b5c2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zencash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XTZ</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Tezos</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0x9ebb5d9f01f4c36e0d0f17bfb9ccf7012b0a3441</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tezos</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985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MINA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Mina Protocol</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0x554f074d9ccda8f483d1812d4874cbeabcd54e12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mina-protocol</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FLOW</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Flow</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0x5c147e74d63b1d31aa3fd78eb229b65161983b2b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flow</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987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KAVA</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Kava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0x0c356b7fd36a5357e5a017ef11887ba100c9ab76</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kava</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988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ONE</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Harmony</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0x799a4202c12ca952cb311598a024c80ed371a41e</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harmony</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989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HBAR</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Hedera</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0x14ab470682Bc045336B1df6262d538Cb6c35eA2</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hedera-hashgraph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990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XDC</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XDC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0x41ab1b6fcbb2fa9dced81acbdec13ea6315f2bf2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xdce-crowd-sale</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DASH</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Dash</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0x57ab1ec28d129707052df4df418d58a2d46d5f51</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dash</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992</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BTT</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BitTorrent</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0x352Cb5E19b12FC216548a2677bD0fce83BaE434B</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bittorrent</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993</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WIN</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WINkLink</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BNB Smart Chain</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0xaeF0d72a118ce24feE3cD1d43d383897D05B4e99</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wink</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994</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CKB</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Nervos Network</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0x27986a0f3c22e0855db4b3e58acb97e79374e34c</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nervos-network</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995</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STEEM</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Steem</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0x6406ef4c5cf83e34700ef3f5d6380afde4e46e08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steem</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996</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KSM</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Kusama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0x69cf3091c91eb72db05e45c76e58225177dea742</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kusama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997</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ICX</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ICON</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0xb5a5f22694352c15b00323844ad545abb2b11028</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icon</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998</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ZIL</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Zilliqa</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0x05f4a42e251f2d52b8ed15e9fedaacfcef1fad27</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zilliqa</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999</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LionOG</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LionOG</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0x6731F2d7ADF86cfba30d15c4D10113Ce98f3492A</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Not assigned</w:t>
            </w:r>
          </w:p>
        </w:tc>
      </w:tr>
      <w:tr>
        <w:trPr>
          <w:cantSplit/>
        </w:trPr>
        <w:tc>
          <w:tcPr>
            <w:tcW w:type="dxa" w:w="835"/>
            <w:tcMar>
              <w:top w:w="72" w:type="dxa"/>
              <w:start w:w="90" w:type="dxa"/>
              <w:bottom w:w="72" w:type="dxa"/>
              <w:end w:w="90" w:type="dxa"/>
            </w:tcMar>
            <w:vAlign w:val="center"/>
            <w:shd w:fill="F3F7FA"/>
          </w:tcPr>
          <w:p>
            <w:pPr>
              <w:spacing w:after="0" w:line="240" w:lineRule="auto"/>
              <w:jc w:val="center"/>
            </w:pPr>
            <w:r>
              <w:rPr>
                <w:rFonts w:ascii="Aptos" w:hAnsi="Aptos" w:eastAsia="Aptos"/>
                <w:sz w:val="13"/>
              </w:rPr>
              <w:t>1000</w:t>
            </w:r>
          </w:p>
        </w:tc>
        <w:tc>
          <w:tcPr>
            <w:tcW w:type="dxa" w:w="1123"/>
            <w:tcMar>
              <w:top w:w="72" w:type="dxa"/>
              <w:start w:w="90" w:type="dxa"/>
              <w:bottom w:w="72" w:type="dxa"/>
              <w:end w:w="90" w:type="dxa"/>
            </w:tcMar>
            <w:vAlign w:val="center"/>
            <w:shd w:fill="F3F7FA"/>
          </w:tcPr>
          <w:p>
            <w:pPr>
              <w:spacing w:after="0" w:line="240" w:lineRule="auto"/>
              <w:jc w:val="left"/>
            </w:pPr>
            <w:r>
              <w:rPr>
                <w:rFonts w:ascii="Aptos" w:hAnsi="Aptos" w:eastAsia="Aptos"/>
                <w:sz w:val="13"/>
              </w:rPr>
              <w:t>FrogOG</w:t>
            </w:r>
          </w:p>
        </w:tc>
        <w:tc>
          <w:tcPr>
            <w:tcW w:type="dxa" w:w="2563"/>
            <w:tcMar>
              <w:top w:w="72" w:type="dxa"/>
              <w:start w:w="90" w:type="dxa"/>
              <w:bottom w:w="72" w:type="dxa"/>
              <w:end w:w="90" w:type="dxa"/>
            </w:tcMar>
            <w:vAlign w:val="center"/>
            <w:shd w:fill="F3F7FA"/>
          </w:tcPr>
          <w:p>
            <w:pPr>
              <w:spacing w:after="0" w:line="240" w:lineRule="auto"/>
              <w:jc w:val="left"/>
            </w:pPr>
            <w:r>
              <w:rPr>
                <w:rFonts w:ascii="Aptos" w:hAnsi="Aptos" w:eastAsia="Aptos"/>
                <w:sz w:val="13"/>
              </w:rPr>
              <w:t>FrogOG</w:t>
            </w:r>
          </w:p>
        </w:tc>
        <w:tc>
          <w:tcPr>
            <w:tcW w:type="dxa" w:w="1555"/>
            <w:tcMar>
              <w:top w:w="72" w:type="dxa"/>
              <w:start w:w="90" w:type="dxa"/>
              <w:bottom w:w="72" w:type="dxa"/>
              <w:end w:w="90" w:type="dxa"/>
            </w:tcMar>
            <w:vAlign w:val="center"/>
            <w:shd w:fill="F3F7FA"/>
          </w:tcPr>
          <w:p>
            <w:pPr>
              <w:spacing w:after="0" w:line="240" w:lineRule="auto"/>
              <w:jc w:val="left"/>
            </w:pPr>
            <w:r>
              <w:rPr>
                <w:rFonts w:ascii="Aptos" w:hAnsi="Aptos" w:eastAsia="Aptos"/>
                <w:sz w:val="13"/>
              </w:rPr>
              <w:t>Base</w:t>
            </w:r>
          </w:p>
        </w:tc>
        <w:tc>
          <w:tcPr>
            <w:tcW w:type="dxa" w:w="5011"/>
            <w:tcMar>
              <w:top w:w="72" w:type="dxa"/>
              <w:start w:w="90" w:type="dxa"/>
              <w:bottom w:w="72" w:type="dxa"/>
              <w:end w:w="90" w:type="dxa"/>
            </w:tcMar>
            <w:vAlign w:val="center"/>
            <w:shd w:fill="F3F7FA"/>
          </w:tcPr>
          <w:p>
            <w:pPr>
              <w:spacing w:after="0" w:line="240" w:lineRule="auto"/>
              <w:jc w:val="left"/>
            </w:pPr>
            <w:r>
              <w:rPr>
                <w:rFonts w:ascii="Aptos" w:hAnsi="Aptos" w:eastAsia="Aptos"/>
                <w:sz w:val="13"/>
              </w:rPr>
              <w:t>0x0E3b564bdD09348840811C7e1106BbD0e98b5b4f</w:t>
            </w:r>
          </w:p>
        </w:tc>
        <w:tc>
          <w:tcPr>
            <w:tcW w:type="dxa" w:w="720"/>
            <w:tcMar>
              <w:top w:w="72" w:type="dxa"/>
              <w:start w:w="90" w:type="dxa"/>
              <w:bottom w:w="72" w:type="dxa"/>
              <w:end w:w="90" w:type="dxa"/>
            </w:tcMar>
            <w:vAlign w:val="center"/>
            <w:shd w:fill="F3F7FA"/>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shd w:fill="F3F7FA"/>
          </w:tcPr>
          <w:p>
            <w:pPr>
              <w:spacing w:after="0" w:line="240" w:lineRule="auto"/>
              <w:jc w:val="left"/>
            </w:pPr>
            <w:r>
              <w:rPr>
                <w:rFonts w:ascii="Aptos" w:hAnsi="Aptos" w:eastAsia="Aptos"/>
                <w:sz w:val="13"/>
              </w:rPr>
              <w:t>Not assigned</w:t>
            </w:r>
          </w:p>
        </w:tc>
      </w:tr>
      <w:tr>
        <w:trPr>
          <w:cantSplit/>
        </w:trPr>
        <w:tc>
          <w:tcPr>
            <w:tcW w:type="dxa" w:w="835"/>
            <w:tcMar>
              <w:top w:w="72" w:type="dxa"/>
              <w:start w:w="90" w:type="dxa"/>
              <w:bottom w:w="72" w:type="dxa"/>
              <w:end w:w="90" w:type="dxa"/>
            </w:tcMar>
            <w:vAlign w:val="center"/>
          </w:tcPr>
          <w:p>
            <w:pPr>
              <w:spacing w:after="0" w:line="240" w:lineRule="auto"/>
              <w:jc w:val="center"/>
            </w:pPr>
            <w:r>
              <w:rPr>
                <w:rFonts w:ascii="Aptos" w:hAnsi="Aptos" w:eastAsia="Aptos"/>
                <w:sz w:val="13"/>
              </w:rPr>
              <w:t>1001</w:t>
            </w:r>
          </w:p>
        </w:tc>
        <w:tc>
          <w:tcPr>
            <w:tcW w:type="dxa" w:w="1123"/>
            <w:tcMar>
              <w:top w:w="72" w:type="dxa"/>
              <w:start w:w="90" w:type="dxa"/>
              <w:bottom w:w="72" w:type="dxa"/>
              <w:end w:w="90" w:type="dxa"/>
            </w:tcMar>
            <w:vAlign w:val="center"/>
          </w:tcPr>
          <w:p>
            <w:pPr>
              <w:spacing w:after="0" w:line="240" w:lineRule="auto"/>
              <w:jc w:val="left"/>
            </w:pPr>
            <w:r>
              <w:rPr>
                <w:rFonts w:ascii="Aptos" w:hAnsi="Aptos" w:eastAsia="Aptos"/>
                <w:sz w:val="13"/>
              </w:rPr>
              <w:t>KEKEC</w:t>
            </w:r>
          </w:p>
        </w:tc>
        <w:tc>
          <w:tcPr>
            <w:tcW w:type="dxa" w:w="2563"/>
            <w:tcMar>
              <w:top w:w="72" w:type="dxa"/>
              <w:start w:w="90" w:type="dxa"/>
              <w:bottom w:w="72" w:type="dxa"/>
              <w:end w:w="90" w:type="dxa"/>
            </w:tcMar>
            <w:vAlign w:val="center"/>
          </w:tcPr>
          <w:p>
            <w:pPr>
              <w:spacing w:after="0" w:line="240" w:lineRule="auto"/>
              <w:jc w:val="left"/>
            </w:pPr>
            <w:r>
              <w:rPr>
                <w:rFonts w:ascii="Aptos" w:hAnsi="Aptos" w:eastAsia="Aptos"/>
                <w:sz w:val="13"/>
              </w:rPr>
              <w:t>The Balkan Dwarf</w:t>
            </w:r>
          </w:p>
        </w:tc>
        <w:tc>
          <w:tcPr>
            <w:tcW w:type="dxa" w:w="1555"/>
            <w:tcMar>
              <w:top w:w="72" w:type="dxa"/>
              <w:start w:w="90" w:type="dxa"/>
              <w:bottom w:w="72" w:type="dxa"/>
              <w:end w:w="90" w:type="dxa"/>
            </w:tcMar>
            <w:vAlign w:val="center"/>
          </w:tcPr>
          <w:p>
            <w:pPr>
              <w:spacing w:after="0" w:line="240" w:lineRule="auto"/>
              <w:jc w:val="left"/>
            </w:pPr>
            <w:r>
              <w:rPr>
                <w:rFonts w:ascii="Aptos" w:hAnsi="Aptos" w:eastAsia="Aptos"/>
                <w:sz w:val="13"/>
              </w:rPr>
              <w:t>Ethereum</w:t>
            </w:r>
          </w:p>
        </w:tc>
        <w:tc>
          <w:tcPr>
            <w:tcW w:type="dxa" w:w="5011"/>
            <w:tcMar>
              <w:top w:w="72" w:type="dxa"/>
              <w:start w:w="90" w:type="dxa"/>
              <w:bottom w:w="72" w:type="dxa"/>
              <w:end w:w="90" w:type="dxa"/>
            </w:tcMar>
            <w:vAlign w:val="center"/>
          </w:tcPr>
          <w:p>
            <w:pPr>
              <w:spacing w:after="0" w:line="240" w:lineRule="auto"/>
              <w:jc w:val="left"/>
            </w:pPr>
            <w:r>
              <w:rPr>
                <w:rFonts w:ascii="Aptos" w:hAnsi="Aptos" w:eastAsia="Aptos"/>
                <w:sz w:val="13"/>
              </w:rPr>
              <w:t>0x8c7ac134ed985367eadc6f727d79e8295e11435c</w:t>
            </w:r>
          </w:p>
        </w:tc>
        <w:tc>
          <w:tcPr>
            <w:tcW w:type="dxa" w:w="720"/>
            <w:tcMar>
              <w:top w:w="72" w:type="dxa"/>
              <w:start w:w="90" w:type="dxa"/>
              <w:bottom w:w="72" w:type="dxa"/>
              <w:end w:w="90" w:type="dxa"/>
            </w:tcMar>
            <w:vAlign w:val="center"/>
          </w:tcPr>
          <w:p>
            <w:pPr>
              <w:spacing w:after="0" w:line="240" w:lineRule="auto"/>
              <w:jc w:val="center"/>
            </w:pPr>
            <w:r>
              <w:rPr>
                <w:rFonts w:ascii="Aptos" w:hAnsi="Aptos" w:eastAsia="Aptos"/>
                <w:sz w:val="13"/>
              </w:rPr>
              <w:t>S3</w:t>
            </w:r>
          </w:p>
        </w:tc>
        <w:tc>
          <w:tcPr>
            <w:tcW w:type="dxa" w:w="2131"/>
            <w:tcMar>
              <w:top w:w="72" w:type="dxa"/>
              <w:start w:w="90" w:type="dxa"/>
              <w:bottom w:w="72" w:type="dxa"/>
              <w:end w:w="90" w:type="dxa"/>
            </w:tcMar>
            <w:vAlign w:val="center"/>
          </w:tcPr>
          <w:p>
            <w:pPr>
              <w:spacing w:after="0" w:line="240" w:lineRule="auto"/>
              <w:jc w:val="left"/>
            </w:pPr>
            <w:r>
              <w:rPr>
                <w:rFonts w:ascii="Aptos" w:hAnsi="Aptos" w:eastAsia="Aptos"/>
                <w:sz w:val="13"/>
              </w:rPr>
              <w:t>the-balkan-dwarf</w:t>
            </w:r>
          </w:p>
        </w:tc>
      </w:tr>
    </w:tbl>
    <w:p>
      <w:pPr>
        <w:spacing w:after="20"/>
      </w:pPr>
    </w:p>
    <w:p>
      <w:pPr>
        <w:sectPr>
          <w:headerReference w:type="default" r:id="rId12"/>
          <w:footerReference w:type="default" r:id="rId13"/>
          <w:pgSz w:w="15840" w:h="12240" w:orient="landscape"/>
          <w:pgMar w:top="864" w:right="936" w:bottom="864" w:left="936" w:header="432" w:footer="432" w:gutter="0"/>
          <w:cols w:space="720"/>
          <w:docGrid w:linePitch="360"/>
        </w:sectPr>
      </w:pPr>
    </w:p>
    <w:p>
      <w:pPr>
        <w:pStyle w:val="Heading1"/>
      </w:pPr>
      <w:r>
        <w:t>Appendix D. Revision Control</w:t>
      </w:r>
    </w:p>
    <w:tbl>
      <w:tblPr>
        <w:tblStyle w:val="TableGrid"/>
        <w:tblW w:type="dxa" w:w="9648"/>
        <w:jc w:val="left"/>
        <w:tblLayout w:type="fixed"/>
        <w:tblLook w:firstColumn="1" w:firstRow="1" w:lastColumn="0" w:lastRow="0" w:noHBand="0" w:noVBand="1" w:val="04A0"/>
        <w:tblInd w:w="120" w:type="dxa"/>
      </w:tblPr>
      <w:tblGrid>
        <w:gridCol w:w="1224"/>
        <w:gridCol w:w="1512"/>
        <w:gridCol w:w="2376"/>
        <w:gridCol w:w="4536"/>
      </w:tblGrid>
      <w:tr>
        <w:trPr>
          <w:tblHeader w:val="true"/>
          <w:cantSplit/>
        </w:trPr>
        <w:tc>
          <w:tcPr>
            <w:tcW w:type="dxa" w:w="1224"/>
            <w:shd w:fill="18324B"/>
            <w:tcMar>
              <w:top w:w="72" w:type="dxa"/>
              <w:start w:w="90" w:type="dxa"/>
              <w:bottom w:w="72" w:type="dxa"/>
              <w:end w:w="90" w:type="dxa"/>
            </w:tcMar>
            <w:vAlign w:val="center"/>
          </w:tcPr>
          <w:p>
            <w:pPr>
              <w:spacing w:after="0"/>
              <w:jc w:val="left"/>
            </w:pPr>
            <w:r>
              <w:rPr>
                <w:rFonts w:ascii="Aptos" w:hAnsi="Aptos" w:eastAsia="Aptos"/>
                <w:b/>
                <w:color w:val="FFFFFF"/>
                <w:sz w:val="15"/>
              </w:rPr>
              <w:t>Revision</w:t>
            </w:r>
          </w:p>
        </w:tc>
        <w:tc>
          <w:tcPr>
            <w:tcW w:type="dxa" w:w="1512"/>
            <w:shd w:fill="18324B"/>
            <w:tcMar>
              <w:top w:w="72" w:type="dxa"/>
              <w:start w:w="90" w:type="dxa"/>
              <w:bottom w:w="72" w:type="dxa"/>
              <w:end w:w="90" w:type="dxa"/>
            </w:tcMar>
            <w:vAlign w:val="center"/>
          </w:tcPr>
          <w:p>
            <w:pPr>
              <w:spacing w:after="0"/>
              <w:jc w:val="left"/>
            </w:pPr>
            <w:r>
              <w:rPr>
                <w:rFonts w:ascii="Aptos" w:hAnsi="Aptos" w:eastAsia="Aptos"/>
                <w:b/>
                <w:color w:val="FFFFFF"/>
                <w:sz w:val="15"/>
              </w:rPr>
              <w:t>Date</w:t>
            </w:r>
          </w:p>
        </w:tc>
        <w:tc>
          <w:tcPr>
            <w:tcW w:type="dxa" w:w="2376"/>
            <w:shd w:fill="18324B"/>
            <w:tcMar>
              <w:top w:w="72" w:type="dxa"/>
              <w:start w:w="90" w:type="dxa"/>
              <w:bottom w:w="72" w:type="dxa"/>
              <w:end w:w="90" w:type="dxa"/>
            </w:tcMar>
            <w:vAlign w:val="center"/>
          </w:tcPr>
          <w:p>
            <w:pPr>
              <w:spacing w:after="0"/>
              <w:jc w:val="left"/>
            </w:pPr>
            <w:r>
              <w:rPr>
                <w:rFonts w:ascii="Aptos" w:hAnsi="Aptos" w:eastAsia="Aptos"/>
                <w:b/>
                <w:color w:val="FFFFFF"/>
                <w:sz w:val="15"/>
              </w:rPr>
              <w:t>Status</w:t>
            </w:r>
          </w:p>
        </w:tc>
        <w:tc>
          <w:tcPr>
            <w:tcW w:type="dxa" w:w="4536"/>
            <w:shd w:fill="18324B"/>
            <w:tcMar>
              <w:top w:w="72" w:type="dxa"/>
              <w:start w:w="90" w:type="dxa"/>
              <w:bottom w:w="72" w:type="dxa"/>
              <w:end w:w="90" w:type="dxa"/>
            </w:tcMar>
            <w:vAlign w:val="center"/>
          </w:tcPr>
          <w:p>
            <w:pPr>
              <w:spacing w:after="0"/>
              <w:jc w:val="left"/>
            </w:pPr>
            <w:r>
              <w:rPr>
                <w:rFonts w:ascii="Aptos" w:hAnsi="Aptos" w:eastAsia="Aptos"/>
                <w:b/>
                <w:color w:val="FFFFFF"/>
                <w:sz w:val="15"/>
              </w:rPr>
              <w:t>Summary</w:t>
            </w:r>
          </w:p>
        </w:tc>
      </w:tr>
      <w:tr>
        <w:trPr>
          <w:tblHeader w:val="true"/>
          <w:cantSplit/>
        </w:trPr>
        <w:tc>
          <w:tcPr>
            <w:tcW w:type="dxa" w:w="1224"/>
            <w:shd w:fill="18324B"/>
            <w:tcMar>
              <w:top w:w="72" w:type="dxa"/>
              <w:start w:w="90" w:type="dxa"/>
              <w:bottom w:w="72" w:type="dxa"/>
              <w:end w:w="90" w:type="dxa"/>
            </w:tcMar>
            <w:vAlign w:val="center"/>
          </w:tcPr>
          <w:p>
            <w:r/>
            <w:r>
              <w:rPr>
                <w:rFonts w:ascii="Aptos" w:hAnsi="Aptos" w:eastAsia="Aptos"/>
                <w:b/>
                <w:color w:val="FFFFFF"/>
                <w:sz w:val="15"/>
              </w:rPr>
              <w:t>Revision 6</w:t>
            </w:r>
          </w:p>
        </w:tc>
        <w:tc>
          <w:tcPr>
            <w:tcW w:type="dxa" w:w="1512"/>
            <w:shd w:fill="18324B"/>
            <w:tcMar>
              <w:top w:w="72" w:type="dxa"/>
              <w:start w:w="90" w:type="dxa"/>
              <w:bottom w:w="72" w:type="dxa"/>
              <w:end w:w="90" w:type="dxa"/>
            </w:tcMar>
            <w:vAlign w:val="center"/>
          </w:tcPr>
          <w:p>
            <w:r/>
            <w:r>
              <w:rPr>
                <w:rFonts w:ascii="Aptos" w:hAnsi="Aptos" w:eastAsia="Aptos"/>
                <w:b/>
                <w:color w:val="FFFFFF"/>
                <w:sz w:val="15"/>
              </w:rPr>
              <w:t>28 July 2026</w:t>
            </w:r>
          </w:p>
        </w:tc>
        <w:tc>
          <w:tcPr>
            <w:tcW w:type="dxa" w:w="2376"/>
            <w:shd w:fill="18324B"/>
            <w:tcMar>
              <w:top w:w="72" w:type="dxa"/>
              <w:start w:w="90" w:type="dxa"/>
              <w:bottom w:w="72" w:type="dxa"/>
              <w:end w:w="90" w:type="dxa"/>
            </w:tcMar>
            <w:vAlign w:val="center"/>
          </w:tcPr>
          <w:p>
            <w:r/>
            <w:r>
              <w:rPr>
                <w:rFonts w:ascii="Aptos" w:hAnsi="Aptos" w:eastAsia="Aptos"/>
                <w:b/>
                <w:color w:val="FFFFFF"/>
                <w:sz w:val="15"/>
              </w:rPr>
              <w:t>Current - deployability evidence and deferred external inputs remain</w:t>
            </w:r>
          </w:p>
        </w:tc>
        <w:tc>
          <w:tcPr>
            <w:tcW w:type="dxa" w:w="4536"/>
            <w:shd w:fill="18324B"/>
            <w:tcMar>
              <w:top w:w="72" w:type="dxa"/>
              <w:start w:w="90" w:type="dxa"/>
              <w:bottom w:w="72" w:type="dxa"/>
              <w:end w:w="90" w:type="dxa"/>
            </w:tcMar>
            <w:vAlign w:val="center"/>
          </w:tcPr>
          <w:p>
            <w:r/>
            <w:r>
              <w:rPr>
                <w:rFonts w:ascii="Aptos" w:hAnsi="Aptos" w:eastAsia="Aptos"/>
                <w:b/>
                <w:color w:val="FFFFFF"/>
                <w:sz w:val="15"/>
              </w:rPr>
              <w:t>Incorporates the owner-approved chain-equivalent-outcome rule; Handshake allowance by the selected source mechanism's state capability; objective per-source identity; permitted new identities and prohibition on person-level enforcement; failed-attempt, one-use, three-use, proof-path qualification, and out-of-protocol rules; settled non-refundable fee treatment; official-application prevention; the canonical UTXO release-public-key identity; and objective pending-attempt disposition. Revision 5's 17-environment and 1,001-entry registry corrections remain unchanged.</w:t>
            </w:r>
          </w:p>
        </w:tc>
      </w:tr>
      <w:tr>
        <w:trPr>
          <w:cantSplit/>
        </w:trPr>
        <w:tc>
          <w:tcPr>
            <w:tcW w:type="dxa" w:w="1224"/>
            <w:tcMar>
              <w:top w:w="72" w:type="dxa"/>
              <w:start w:w="90" w:type="dxa"/>
              <w:bottom w:w="72" w:type="dxa"/>
              <w:end w:w="90" w:type="dxa"/>
            </w:tcMar>
            <w:vAlign w:val="center"/>
          </w:tcPr>
          <w:p>
            <w:r/>
            <w:r>
              <w:rPr>
                <w:rFonts w:ascii="Aptos" w:hAnsi="Aptos" w:eastAsia="Aptos"/>
                <w:b w:val="0"/>
                <w:sz w:val="15"/>
              </w:rPr>
              <w:t>Revision 5</w:t>
            </w:r>
          </w:p>
        </w:tc>
        <w:tc>
          <w:tcPr>
            <w:tcW w:type="dxa" w:w="1512"/>
            <w:tcMar>
              <w:top w:w="72" w:type="dxa"/>
              <w:start w:w="90" w:type="dxa"/>
              <w:bottom w:w="72" w:type="dxa"/>
              <w:end w:w="90" w:type="dxa"/>
            </w:tcMar>
            <w:vAlign w:val="center"/>
          </w:tcPr>
          <w:p>
            <w:r/>
            <w:r>
              <w:rPr>
                <w:rFonts w:ascii="Aptos" w:hAnsi="Aptos" w:eastAsia="Aptos"/>
                <w:b w:val="0"/>
                <w:sz w:val="15"/>
              </w:rPr>
              <w:t>28 July 2026</w:t>
            </w:r>
          </w:p>
        </w:tc>
        <w:tc>
          <w:tcPr>
            <w:tcW w:type="dxa" w:w="2376"/>
            <w:tcMar>
              <w:top w:w="72" w:type="dxa"/>
              <w:start w:w="90" w:type="dxa"/>
              <w:bottom w:w="72" w:type="dxa"/>
              <w:end w:w="90" w:type="dxa"/>
            </w:tcMar>
            <w:vAlign w:val="center"/>
          </w:tcPr>
          <w:p>
            <w:r/>
            <w:r>
              <w:rPr>
                <w:rFonts w:ascii="Aptos" w:hAnsi="Aptos" w:eastAsia="Aptos"/>
                <w:b w:val="0"/>
                <w:sz w:val="15"/>
              </w:rPr>
              <w:t>Superseded</w:t>
            </w:r>
          </w:p>
        </w:tc>
        <w:tc>
          <w:tcPr>
            <w:tcW w:type="dxa" w:w="4536"/>
            <w:tcMar>
              <w:top w:w="72" w:type="dxa"/>
              <w:start w:w="90" w:type="dxa"/>
              <w:bottom w:w="72" w:type="dxa"/>
              <w:end w:w="90" w:type="dxa"/>
            </w:tcMar>
            <w:vAlign w:val="center"/>
          </w:tcPr>
          <w:p>
            <w:r/>
            <w:r>
              <w:rPr>
                <w:rFonts w:ascii="Aptos" w:hAnsi="Aptos" w:eastAsia="Aptos"/>
                <w:b w:val="0"/>
                <w:sz w:val="15"/>
              </w:rPr>
              <w:t>Owner-authorized correction: retains native BCH; assigns Appendix C row 54 to the Bitcoin Cash environment; expands the supported set from 16 to 17; splits the former Bitcoin count of 2 into Bitcoin 1 and Bitcoin Cash 1; and updates the corresponding environment, Dev Fund, chain-identifier, finality, and deployment-count requirements. No asset is added or removed; the registry remains exactly 1,001 entries.</w:t>
            </w:r>
          </w:p>
        </w:tc>
      </w:tr>
      <w:tr>
        <w:trPr>
          <w:cantSplit/>
        </w:trPr>
        <w:tc>
          <w:tcPr>
            <w:tcW w:type="dxa" w:w="1224"/>
            <w:tcMar>
              <w:top w:w="72" w:type="dxa"/>
              <w:start w:w="90" w:type="dxa"/>
              <w:bottom w:w="72" w:type="dxa"/>
              <w:end w:w="90" w:type="dxa"/>
            </w:tcMar>
            <w:vAlign w:val="center"/>
          </w:tcPr>
          <w:p>
            <w:pPr>
              <w:spacing w:after="0" w:line="240" w:lineRule="auto"/>
              <w:jc w:val="left"/>
            </w:pPr>
            <w:r>
              <w:rPr>
                <w:rFonts w:ascii="Aptos" w:hAnsi="Aptos" w:eastAsia="Aptos"/>
                <w:sz w:val="15"/>
              </w:rPr>
              <w:t>Revision 4</w:t>
            </w:r>
          </w:p>
        </w:tc>
        <w:tc>
          <w:tcPr>
            <w:tcW w:type="dxa" w:w="1512"/>
            <w:tcMar>
              <w:top w:w="72" w:type="dxa"/>
              <w:start w:w="90" w:type="dxa"/>
              <w:bottom w:w="72" w:type="dxa"/>
              <w:end w:w="90" w:type="dxa"/>
            </w:tcMar>
            <w:vAlign w:val="center"/>
          </w:tcPr>
          <w:p>
            <w:pPr>
              <w:spacing w:after="0" w:line="240" w:lineRule="auto"/>
              <w:jc w:val="left"/>
            </w:pPr>
            <w:r>
              <w:rPr>
                <w:rFonts w:ascii="Aptos" w:hAnsi="Aptos" w:eastAsia="Aptos"/>
                <w:sz w:val="15"/>
              </w:rPr>
              <w:t>27 July 2026</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Superseded</w:t>
            </w:r>
          </w:p>
        </w:tc>
        <w:tc>
          <w:tcPr>
            <w:tcW w:type="dxa" w:w="4536"/>
            <w:tcMar>
              <w:top w:w="72" w:type="dxa"/>
              <w:start w:w="90" w:type="dxa"/>
              <w:bottom w:w="72" w:type="dxa"/>
              <w:end w:w="90" w:type="dxa"/>
            </w:tcMar>
            <w:vAlign w:val="center"/>
          </w:tcPr>
          <w:p>
            <w:pPr>
              <w:spacing w:after="0" w:line="240" w:lineRule="auto"/>
              <w:jc w:val="left"/>
            </w:pPr>
            <w:r>
              <w:rPr>
                <w:rFonts w:ascii="Aptos" w:hAnsi="Aptos" w:eastAsia="Aptos"/>
                <w:sz w:val="15"/>
              </w:rPr>
              <w:t>Replaces predetermined registry-file byte identity with semantic conformity to Appendix C; adds VF-REG-011; removes the review-time file-hash requirement; clarifies deployment evidence; and replaces the registry companion guidance. No asset identity, environment, classification, pricing identifier, or other protocol behavior changes.</w:t>
            </w:r>
          </w:p>
        </w:tc>
      </w:tr>
      <w:tr>
        <w:trPr>
          <w:cantSplit/>
        </w:trPr>
        <w:tc>
          <w:tcPr>
            <w:tcW w:type="dxa" w:w="1224"/>
            <w:tcMar>
              <w:top w:w="72" w:type="dxa"/>
              <w:start w:w="90" w:type="dxa"/>
              <w:bottom w:w="72" w:type="dxa"/>
              <w:end w:w="90" w:type="dxa"/>
            </w:tcMar>
            <w:vAlign w:val="center"/>
          </w:tcPr>
          <w:p>
            <w:pPr>
              <w:spacing w:after="0" w:line="240" w:lineRule="auto"/>
              <w:jc w:val="left"/>
            </w:pPr>
            <w:r>
              <w:rPr>
                <w:rFonts w:ascii="Aptos" w:hAnsi="Aptos" w:eastAsia="Aptos"/>
                <w:sz w:val="15"/>
              </w:rPr>
              <w:t>Revision 3</w:t>
            </w:r>
          </w:p>
        </w:tc>
        <w:tc>
          <w:tcPr>
            <w:tcW w:type="dxa" w:w="1512"/>
            <w:tcMar>
              <w:top w:w="72" w:type="dxa"/>
              <w:start w:w="90" w:type="dxa"/>
              <w:bottom w:w="72" w:type="dxa"/>
              <w:end w:w="90" w:type="dxa"/>
            </w:tcMar>
            <w:vAlign w:val="center"/>
          </w:tcPr>
          <w:p>
            <w:pPr>
              <w:spacing w:after="0" w:line="240" w:lineRule="auto"/>
              <w:jc w:val="left"/>
            </w:pPr>
            <w:r>
              <w:rPr>
                <w:rFonts w:ascii="Aptos" w:hAnsi="Aptos" w:eastAsia="Aptos"/>
                <w:sz w:val="15"/>
              </w:rPr>
              <w:t>27 July 2026</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Superseded</w:t>
            </w:r>
          </w:p>
        </w:tc>
        <w:tc>
          <w:tcPr>
            <w:tcW w:type="dxa" w:w="4536"/>
            <w:tcMar>
              <w:top w:w="72" w:type="dxa"/>
              <w:start w:w="90" w:type="dxa"/>
              <w:bottom w:w="72" w:type="dxa"/>
              <w:end w:w="90" w:type="dxa"/>
            </w:tcMar>
            <w:vAlign w:val="center"/>
          </w:tcPr>
          <w:p>
            <w:pPr>
              <w:spacing w:after="0" w:line="240" w:lineRule="auto"/>
              <w:jc w:val="left"/>
            </w:pPr>
            <w:r>
              <w:rPr>
                <w:rFonts w:ascii="Aptos" w:hAnsi="Aptos" w:eastAsia="Aptos"/>
                <w:sz w:val="15"/>
              </w:rPr>
              <w:t>Adds VF-COM-026 to make the one-hour duration exclusive to a qualifying Trust-Building Handshake; records the prior-file review evidence; and introduces a registry-file provenance control later superseded by the current semantic registry rule. No other protocol behavior changes.</w:t>
            </w:r>
          </w:p>
        </w:tc>
      </w:tr>
      <w:tr>
        <w:trPr>
          <w:cantSplit/>
        </w:trPr>
        <w:tc>
          <w:tcPr>
            <w:tcW w:type="dxa" w:w="1224"/>
            <w:tcMar>
              <w:top w:w="72" w:type="dxa"/>
              <w:start w:w="90" w:type="dxa"/>
              <w:bottom w:w="72" w:type="dxa"/>
              <w:end w:w="90" w:type="dxa"/>
            </w:tcMar>
            <w:vAlign w:val="center"/>
            <w:shd w:fill="F3F7FA"/>
          </w:tcPr>
          <w:p>
            <w:pPr>
              <w:spacing w:after="0" w:line="240" w:lineRule="auto"/>
              <w:jc w:val="left"/>
            </w:pPr>
            <w:r>
              <w:rPr>
                <w:rFonts w:ascii="Aptos" w:hAnsi="Aptos" w:eastAsia="Aptos"/>
                <w:sz w:val="15"/>
              </w:rPr>
              <w:t>Revision 2</w:t>
            </w:r>
          </w:p>
        </w:tc>
        <w:tc>
          <w:tcPr>
            <w:tcW w:type="dxa" w:w="1512"/>
            <w:tcMar>
              <w:top w:w="72" w:type="dxa"/>
              <w:start w:w="90" w:type="dxa"/>
              <w:bottom w:w="72" w:type="dxa"/>
              <w:end w:w="90" w:type="dxa"/>
            </w:tcMar>
            <w:vAlign w:val="center"/>
            <w:shd w:fill="F3F7FA"/>
          </w:tcPr>
          <w:p>
            <w:pPr>
              <w:spacing w:after="0" w:line="240" w:lineRule="auto"/>
              <w:jc w:val="left"/>
            </w:pPr>
            <w:r>
              <w:rPr>
                <w:rFonts w:ascii="Aptos" w:hAnsi="Aptos" w:eastAsia="Aptos"/>
                <w:sz w:val="15"/>
              </w:rPr>
              <w:t>27 July 2026</w:t>
            </w:r>
          </w:p>
        </w:tc>
        <w:tc>
          <w:tcPr>
            <w:tcW w:type="dxa" w:w="2376"/>
            <w:tcMar>
              <w:top w:w="72" w:type="dxa"/>
              <w:start w:w="90" w:type="dxa"/>
              <w:bottom w:w="72" w:type="dxa"/>
              <w:end w:w="90" w:type="dxa"/>
            </w:tcMar>
            <w:vAlign w:val="center"/>
            <w:shd w:fill="F3F7FA"/>
          </w:tcPr>
          <w:p>
            <w:pPr>
              <w:spacing w:after="0" w:line="240" w:lineRule="auto"/>
              <w:jc w:val="left"/>
            </w:pPr>
            <w:r>
              <w:rPr>
                <w:rFonts w:ascii="Aptos" w:hAnsi="Aptos" w:eastAsia="Aptos"/>
                <w:sz w:val="15"/>
              </w:rPr>
              <w:t>Superseded</w:t>
            </w:r>
          </w:p>
        </w:tc>
        <w:tc>
          <w:tcPr>
            <w:tcW w:type="dxa" w:w="4536"/>
            <w:tcMar>
              <w:top w:w="72" w:type="dxa"/>
              <w:start w:w="90" w:type="dxa"/>
              <w:bottom w:w="72" w:type="dxa"/>
              <w:end w:w="90" w:type="dxa"/>
            </w:tcMar>
            <w:vAlign w:val="center"/>
            <w:shd w:fill="F3F7FA"/>
          </w:tcPr>
          <w:p>
            <w:pPr>
              <w:spacing w:after="0" w:line="240" w:lineRule="auto"/>
              <w:jc w:val="left"/>
            </w:pPr>
            <w:r>
              <w:rPr>
                <w:rFonts w:ascii="Aptos" w:hAnsi="Aptos" w:eastAsia="Aptos"/>
                <w:sz w:val="15"/>
              </w:rPr>
              <w:t>Synchronizes all settled behavior; replaces the prior Handshake, oracle, Treasury Reward Stake activation, environment, S2, cross-chain, Axelar ITS, cap, epoch, proof, fee-destination, terminology, and deployment language; incorporates the complete 1,001-entry registry.</w:t>
            </w:r>
          </w:p>
        </w:tc>
      </w:tr>
      <w:tr>
        <w:trPr>
          <w:cantSplit/>
        </w:trPr>
        <w:tc>
          <w:tcPr>
            <w:tcW w:type="dxa" w:w="1224"/>
            <w:tcMar>
              <w:top w:w="72" w:type="dxa"/>
              <w:start w:w="90" w:type="dxa"/>
              <w:bottom w:w="72" w:type="dxa"/>
              <w:end w:w="90" w:type="dxa"/>
            </w:tcMar>
            <w:vAlign w:val="center"/>
          </w:tcPr>
          <w:p>
            <w:pPr>
              <w:spacing w:after="0" w:line="240" w:lineRule="auto"/>
              <w:jc w:val="left"/>
            </w:pPr>
            <w:r>
              <w:rPr>
                <w:rFonts w:ascii="Aptos" w:hAnsi="Aptos" w:eastAsia="Aptos"/>
                <w:sz w:val="15"/>
              </w:rPr>
              <w:t>Revision 1</w:t>
            </w:r>
          </w:p>
        </w:tc>
        <w:tc>
          <w:tcPr>
            <w:tcW w:type="dxa" w:w="1512"/>
            <w:tcMar>
              <w:top w:w="72" w:type="dxa"/>
              <w:start w:w="90" w:type="dxa"/>
              <w:bottom w:w="72" w:type="dxa"/>
              <w:end w:w="90" w:type="dxa"/>
            </w:tcMar>
            <w:vAlign w:val="center"/>
          </w:tcPr>
          <w:p>
            <w:pPr>
              <w:spacing w:after="0" w:line="240" w:lineRule="auto"/>
              <w:jc w:val="left"/>
            </w:pPr>
            <w:r>
              <w:rPr>
                <w:rFonts w:ascii="Aptos" w:hAnsi="Aptos" w:eastAsia="Aptos"/>
                <w:sz w:val="15"/>
              </w:rPr>
              <w:t>25 July 2026</w:t>
            </w:r>
          </w:p>
        </w:tc>
        <w:tc>
          <w:tcPr>
            <w:tcW w:type="dxa" w:w="2376"/>
            <w:tcMar>
              <w:top w:w="72" w:type="dxa"/>
              <w:start w:w="90" w:type="dxa"/>
              <w:bottom w:w="72" w:type="dxa"/>
              <w:end w:w="90" w:type="dxa"/>
            </w:tcMar>
            <w:vAlign w:val="center"/>
          </w:tcPr>
          <w:p>
            <w:pPr>
              <w:spacing w:after="0" w:line="240" w:lineRule="auto"/>
              <w:jc w:val="left"/>
            </w:pPr>
            <w:r>
              <w:rPr>
                <w:rFonts w:ascii="Aptos" w:hAnsi="Aptos" w:eastAsia="Aptos"/>
                <w:sz w:val="15"/>
              </w:rPr>
              <w:t>Superseded</w:t>
            </w:r>
          </w:p>
        </w:tc>
        <w:tc>
          <w:tcPr>
            <w:tcW w:type="dxa" w:w="4536"/>
            <w:tcMar>
              <w:top w:w="72" w:type="dxa"/>
              <w:start w:w="90" w:type="dxa"/>
              <w:bottom w:w="72" w:type="dxa"/>
              <w:end w:w="90" w:type="dxa"/>
            </w:tcMar>
            <w:vAlign w:val="center"/>
          </w:tcPr>
          <w:p>
            <w:pPr>
              <w:spacing w:after="0" w:line="240" w:lineRule="auto"/>
              <w:jc w:val="left"/>
            </w:pPr>
            <w:r>
              <w:rPr>
                <w:rFonts w:ascii="Aptos" w:hAnsi="Aptos" w:eastAsia="Aptos"/>
                <w:sz w:val="15"/>
              </w:rPr>
              <w:t>First comprehensive current-state specification and original-form fee-routing accounting revision.</w:t>
            </w:r>
          </w:p>
        </w:tc>
      </w:tr>
    </w:tbl>
    <w:p>
      <w:pPr>
        <w:spacing w:after="20"/>
      </w:pPr>
    </w:p>
    <w:tbl>
      <w:tblPr>
        <w:tblStyle w:val="TableGrid"/>
        <w:tblW w:type="dxa" w:w="9648"/>
        <w:jc w:val="left"/>
        <w:tblLayout w:type="fixed"/>
        <w:tblLook w:firstColumn="1" w:firstRow="1" w:lastColumn="0" w:lastRow="0" w:noHBand="0" w:noVBand="1" w:val="04A0"/>
        <w:tblInd w:w="120" w:type="dxa"/>
      </w:tblPr>
      <w:tblGrid>
        <w:gridCol w:w="9648"/>
      </w:tblGrid>
      <w:tr>
        <w:trPr>
          <w:tblHeader w:val="true"/>
          <w:cantSplit/>
        </w:trPr>
        <w:tc>
          <w:tcPr>
            <w:tcW w:type="dxa" w:w="9648"/>
            <w:shd w:fill="E8F0F7"/>
            <w:tcMar>
              <w:top w:w="105" w:type="dxa"/>
              <w:start w:w="120" w:type="dxa"/>
              <w:bottom w:w="105" w:type="dxa"/>
              <w:end w:w="120" w:type="dxa"/>
            </w:tcMar>
            <w:vAlign w:val="center"/>
          </w:tcPr>
          <w:p>
            <w:r/>
            <w:r>
              <w:rPr>
                <w:b/>
                <w:color w:val="18324B"/>
              </w:rPr>
              <w:t>CURRENT STATUS</w:t>
            </w:r>
            <w:r>
              <w:br/>
              <w:t>Current - All presently approved specification amendments are incorporated. Implementation-blocking deployability evidence, including the Cosmos Hub chain-native feasibility analysis, and deferred external deployment inputs remain. No owner decision remains open.</w:t>
            </w:r>
          </w:p>
        </w:tc>
      </w:tr>
    </w:tbl>
    <w:p>
      <w:pPr>
        <w:spacing w:after="20"/>
      </w:pPr>
    </w:p>
    <w:sectPr>
      <w:headerReference w:type="default" r:id="rId14"/>
      <w:footerReference w:type="default" r:id="rId15"/>
      <w:pgSz w:w="12240" w:h="15840"/>
      <w:pgMar w:top="1037"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DB68" w14:textId="77777777">
      <w:pPr>
        <w:spacing w:after="0" w:line="240" w:lineRule="auto"/>
      </w:pPr>
      <w:r>
        <w:separator/>
      </w:r>
    </w:p>
  </w:endnote>
  <w:endnote w:type="continuationSeparator" w:id="0">
    <w:p w14:paraId="726504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73F5" w14:textId="77777777">
    <w:pPr>
      <w:pStyle w:val="Footer"/>
      <w:jc w:val="right"/>
    </w:pPr>
    <w:r>
      <w:rPr>
        <w:rFonts w:ascii="Aptos" w:hAnsi="Aptos" w:eastAsia="Aptos"/>
        <w:color w:val="5D6772"/>
        <w:sz w:val="16"/>
      </w:rPr>
      <w:t xml:space="preserve">Vinculum Finalis - Master Specification   |   </w:t>
    </w:r>
    <w:r>
      <w:rPr>
        <w:rFonts w:ascii="Aptos" w:hAnsi="Aptos" w:eastAsia="Aptos"/>
        <w:sz w:val="16"/>
      </w:rPr>
      <w:fldChar w:fldCharType="begin" w:dirty="true"/>
    </w:r>
    <w:r>
      <w:rPr>
        <w:rFonts w:ascii="Aptos" w:hAnsi="Aptos" w:eastAsia="Aptos"/>
        <w:sz w:val="16"/>
      </w:rPr>
      <w:instrText xml:space="preserve"> PAGE </w:instrText>
    </w:r>
    <w:r>
      <w:rPr>
        <w:rFonts w:ascii="Aptos" w:hAnsi="Aptos" w:eastAsia="Aptos"/>
        <w:sz w:val="16"/>
      </w:rPr>
      <w:fldChar w:fldCharType="separate"/>
    </w:r>
    <w:r>
      <w:rPr>
        <w:rFonts w:ascii="Aptos" w:hAnsi="Aptos" w:eastAsia="Aptos"/>
        <w:color w:val="5D6772"/>
        <w:sz w:val="16"/>
      </w:rPr>
      <w:t>1</w:t>
    </w:r>
    <w:r>
      <w:rPr>
        <w:rFonts w:ascii="Aptos" w:hAnsi="Aptos" w:eastAsia="Aptos"/>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D6772"/>
        <w:sz w:val="16"/>
      </w:rPr>
      <w:t xml:space="preserve">Vinculum Finalis - Master Specification   |   </w:t>
    </w:r>
    <w:r>
      <w:rPr>
        <w:rFonts w:ascii="Aptos" w:hAnsi="Aptos" w:eastAsia="Aptos"/>
        <w:sz w:val="16"/>
      </w:rPr>
      <w:fldChar w:fldCharType="begin" w:dirty="true"/>
    </w:r>
    <w:r>
      <w:rPr>
        <w:rFonts w:ascii="Aptos" w:hAnsi="Aptos" w:eastAsia="Aptos"/>
        <w:sz w:val="16"/>
      </w:rPr>
      <w:instrText xml:space="preserve"> PAGE </w:instrText>
    </w:r>
    <w:r>
      <w:rPr>
        <w:rFonts w:ascii="Aptos" w:hAnsi="Aptos" w:eastAsia="Aptos"/>
        <w:sz w:val="16"/>
      </w:rPr>
      <w:fldChar w:fldCharType="separate"/>
    </w:r>
    <w:r>
      <w:rPr>
        <w:rFonts w:ascii="Aptos" w:hAnsi="Aptos" w:eastAsia="Aptos"/>
        <w:color w:val="5D6772"/>
        <w:sz w:val="16"/>
      </w:rPr>
      <w:t>1</w:t>
    </w:r>
    <w:r>
      <w:rPr>
        <w:rFonts w:ascii="Aptos" w:hAnsi="Aptos" w:eastAsia="Aptos"/>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D6772"/>
        <w:sz w:val="16"/>
      </w:rPr>
      <w:t xml:space="preserve">Vinculum Finalis - Master Specification   |   </w:t>
    </w:r>
    <w:r>
      <w:rPr>
        <w:rFonts w:ascii="Aptos" w:hAnsi="Aptos" w:eastAsia="Aptos"/>
        <w:sz w:val="16"/>
      </w:rPr>
      <w:fldChar w:fldCharType="begin" w:dirty="true"/>
    </w:r>
    <w:r>
      <w:rPr>
        <w:rFonts w:ascii="Aptos" w:hAnsi="Aptos" w:eastAsia="Aptos"/>
        <w:sz w:val="16"/>
      </w:rPr>
      <w:instrText xml:space="preserve"> PAGE </w:instrText>
    </w:r>
    <w:r>
      <w:rPr>
        <w:rFonts w:ascii="Aptos" w:hAnsi="Aptos" w:eastAsia="Aptos"/>
        <w:sz w:val="16"/>
      </w:rPr>
      <w:fldChar w:fldCharType="separate"/>
    </w:r>
    <w:r>
      <w:rPr>
        <w:rFonts w:ascii="Aptos" w:hAnsi="Aptos" w:eastAsia="Aptos"/>
        <w:color w:val="5D6772"/>
        <w:sz w:val="16"/>
      </w:rPr>
      <w:t>1</w:t>
    </w:r>
    <w:r>
      <w:rPr>
        <w:rFonts w:ascii="Aptos" w:hAnsi="Aptos" w:eastAsia="Apto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F509" w14:textId="77777777">
      <w:pPr>
        <w:spacing w:after="0" w:line="240" w:lineRule="auto"/>
      </w:pPr>
      <w:r>
        <w:separator/>
      </w:r>
    </w:p>
  </w:footnote>
  <w:footnote w:type="continuationSeparator" w:id="0">
    <w:p w14:paraId="3C48836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6DAB" w14:textId="77777777">
    <w:pPr>
      <w:pStyle w:val="DocumentLabel"/>
      <w:jc w:val="right"/>
    </w:pPr>
    <w:r>
      <w:rPr>
        <w:rFonts w:ascii="Aptos" w:hAnsi="Aptos" w:eastAsia="Aptos"/>
        <w:b/>
        <w:color w:val="5D6772"/>
        <w:sz w:val="16"/>
      </w:rPr>
      <w:t>VINCULUM FINALIS  |  MASTER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D6772"/>
        <w:sz w:val="16"/>
      </w:rPr>
      <w:t>VINCULUM FINALIS  |  MASTER SPECIFICATION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D6772"/>
        <w:sz w:val="16"/>
      </w:rPr>
      <w:t>VINCULUM FINALIS  |  MASTER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6B636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90AAD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B3CC4"/>
    <w:multiLevelType w:val="hybridMultilevel"/>
    <w:tmpl w:val="ED3C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8A6E24"/>
    <w:multiLevelType w:val="multilevel"/>
    <w:tmpl w:val="32E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E2027"/>
    <w:multiLevelType w:val="multilevel"/>
    <w:tmpl w:val="80F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58252">
    <w:abstractNumId w:val="8"/>
  </w:num>
  <w:num w:numId="2" w16cid:durableId="838695165">
    <w:abstractNumId w:val="6"/>
  </w:num>
  <w:num w:numId="3" w16cid:durableId="393085912">
    <w:abstractNumId w:val="5"/>
  </w:num>
  <w:num w:numId="4" w16cid:durableId="495340602">
    <w:abstractNumId w:val="4"/>
  </w:num>
  <w:num w:numId="5" w16cid:durableId="1227296383">
    <w:abstractNumId w:val="7"/>
  </w:num>
  <w:num w:numId="6" w16cid:durableId="1420176764">
    <w:abstractNumId w:val="3"/>
  </w:num>
  <w:num w:numId="7" w16cid:durableId="934097450">
    <w:abstractNumId w:val="2"/>
  </w:num>
  <w:num w:numId="8" w16cid:durableId="650715143">
    <w:abstractNumId w:val="1"/>
  </w:num>
  <w:num w:numId="9" w16cid:durableId="916863120">
    <w:abstractNumId w:val="0"/>
  </w:num>
  <w:num w:numId="10" w16cid:durableId="1246526827">
    <w:abstractNumId w:val="7"/>
  </w:num>
  <w:num w:numId="11" w16cid:durableId="480587567">
    <w:abstractNumId w:val="7"/>
  </w:num>
  <w:num w:numId="12" w16cid:durableId="1745494922">
    <w:abstractNumId w:val="9"/>
  </w:num>
  <w:num w:numId="13" w16cid:durableId="1855916340">
    <w:abstractNumId w:val="7"/>
  </w:num>
  <w:num w:numId="14" w16cid:durableId="543561288">
    <w:abstractNumId w:val="10"/>
  </w:num>
  <w:num w:numId="15" w16cid:durableId="2138180659">
    <w:abstractNumId w:val="11"/>
  </w:num>
  <w:num w:numId="16" w16cid:durableId="1804032720">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6C"/>
    <w:rsid w:val="00034616"/>
    <w:rsid w:val="0006063C"/>
    <w:rsid w:val="000C18FE"/>
    <w:rsid w:val="0015074B"/>
    <w:rsid w:val="001918B5"/>
    <w:rsid w:val="001949F8"/>
    <w:rsid w:val="001952F3"/>
    <w:rsid w:val="001A2C47"/>
    <w:rsid w:val="00217DFB"/>
    <w:rsid w:val="00226359"/>
    <w:rsid w:val="002354CD"/>
    <w:rsid w:val="002562BE"/>
    <w:rsid w:val="0029639D"/>
    <w:rsid w:val="002B2F70"/>
    <w:rsid w:val="00326F90"/>
    <w:rsid w:val="00435972"/>
    <w:rsid w:val="00441AA0"/>
    <w:rsid w:val="004B59B2"/>
    <w:rsid w:val="004E5511"/>
    <w:rsid w:val="00510BEE"/>
    <w:rsid w:val="00525793"/>
    <w:rsid w:val="0056723F"/>
    <w:rsid w:val="00582292"/>
    <w:rsid w:val="005867D0"/>
    <w:rsid w:val="005A335F"/>
    <w:rsid w:val="0063597A"/>
    <w:rsid w:val="0066063B"/>
    <w:rsid w:val="00693088"/>
    <w:rsid w:val="006F3870"/>
    <w:rsid w:val="00710B77"/>
    <w:rsid w:val="00755E49"/>
    <w:rsid w:val="00785A8F"/>
    <w:rsid w:val="00795618"/>
    <w:rsid w:val="007A3C09"/>
    <w:rsid w:val="007D12BB"/>
    <w:rsid w:val="007D1D49"/>
    <w:rsid w:val="00807326"/>
    <w:rsid w:val="0081467E"/>
    <w:rsid w:val="008D3DE4"/>
    <w:rsid w:val="00916FB3"/>
    <w:rsid w:val="0095134A"/>
    <w:rsid w:val="009F39A6"/>
    <w:rsid w:val="00AA1D8D"/>
    <w:rsid w:val="00AB41F7"/>
    <w:rsid w:val="00B42936"/>
    <w:rsid w:val="00B47730"/>
    <w:rsid w:val="00B731D8"/>
    <w:rsid w:val="00B77A94"/>
    <w:rsid w:val="00B975C3"/>
    <w:rsid w:val="00BB399F"/>
    <w:rsid w:val="00C21E60"/>
    <w:rsid w:val="00C33EEA"/>
    <w:rsid w:val="00C523D7"/>
    <w:rsid w:val="00CA14B0"/>
    <w:rsid w:val="00CB0664"/>
    <w:rsid w:val="00CC0EBD"/>
    <w:rsid w:val="00D03C3C"/>
    <w:rsid w:val="00D60D29"/>
    <w:rsid w:val="00DD160A"/>
    <w:rsid w:val="00E327E5"/>
    <w:rsid w:val="00EF6685"/>
    <w:rsid w:val="00FC5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0E0CC"/>
  <w14:defaultImageDpi w14:val="300"/>
  <w15:docId w15:val="{FFEDD77B-218D-4B1F-8863-94736E3A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E5E8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E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Label">
    <w:name w:val="Document Label"/>
    <w:basedOn w:val="Normal"/>
    <w:rPr>
      <w:b/>
      <w:color w:val="5E6770"/>
      <w:sz w:val="16"/>
    </w:rPr>
  </w:style>
  <w:style w:type="paragraph" w:customStyle="1" w:styleId="Requirement">
    <w:name w:val="Requirement"/>
    <w:basedOn w:val="Normal"/>
    <w:pPr>
      <w:spacing w:after="80"/>
      <w:ind w:left="115"/>
    </w:pPr>
    <w:rPr>
      <w:rFonts w:ascii="Aptos" w:hAnsi="Aptos"/>
      <w:color w:val="111827"/>
      <w:sz w:val="18"/>
    </w:rPr>
  </w:style>
  <w:style w:type="paragraph" w:customStyle="1" w:styleId="Callout">
    <w:name w:val="Callout"/>
    <w:basedOn w:val="Normal"/>
    <w:rPr>
      <w:color w:val="111827"/>
    </w:rPr>
  </w:style>
  <w:style w:type="paragraph" w:customStyle="1" w:styleId="Small">
    <w:name w:val="Small"/>
    <w:basedOn w:val="Normal"/>
    <w:rPr>
      <w:color w:val="5E67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6641</Words>
  <Characters>37854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Vinculum Finalis — Master Specification — Revision 1</vt:lpstr>
    </vt:vector>
  </TitlesOfParts>
  <Manager/>
  <Company/>
  <LinksUpToDate>false</LinksUpToDate>
  <CharactersWithSpaces>44407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Vinculum Finalis - Master Specification</dc:title>
  <dc:subject>Binding protocol requirements and architecture</dc:subject>
  <dc:creator/>
  <cp:keywords>Vinculum Finalis, VCLM, CHONX, SYNTH, Commitment Vault Lock</cp:keywords>
  <dc:description>Current synchronized specification. No independent review conclusion is implied by document preparation.</dc:description>
  <cp:lastModifiedBy/>
  <cp:revision>1</cp:revision>
  <dcterms:created xsi:type="dcterms:W3CDTF">2026-07-26T00:58:00Z</dcterms:created>
  <dcterms:modified xsi:type="dcterms:W3CDTF">2026-07-28T00:00:00Z</dcterms:modified>
  <cp:category/>
</cp:coreProperties>
</file>