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UniMentor Usability Testing Task List</w:t>
      </w:r>
    </w:p>
    <w:p>
      <w:pPr>
        <w:spacing w:after="160"/>
      </w:pPr>
      <w:r>
        <w:rPr>
          <w:rFonts w:ascii="Times New Roman" w:hAnsi="Times New Roman" w:eastAsia="Times New Roman"/>
          <w:b w:val="0"/>
          <w:i/>
          <w:color w:val="333333"/>
          <w:sz w:val="21"/>
        </w:rPr>
        <w:t>Eight mobile-app tasks with equal allocation across the four member scopes</w:t>
      </w:r>
    </w:p>
    <w:p>
      <w:pPr>
        <w:spacing w:after="100" w:line="259" w:lineRule="auto"/>
      </w:pPr>
      <w:r>
        <w:rPr>
          <w:rFonts w:ascii="Times New Roman" w:hAnsi="Times New Roman" w:eastAsia="Times New Roman"/>
          <w:b w:val="0"/>
          <w:i w:val="0"/>
          <w:color w:val="000000"/>
          <w:sz w:val="20"/>
        </w:rPr>
        <w:t>Purpose. This task list is intended for the Assignment 3 usability study of the working UniMentor mobile app. It assigns exactly two tasks to each member and gives each member ten participant-task attempts when five participants complete all tasks. The tasks are goal-based: read the participant goal aloud and keep the success check for the observer.</w:t>
      </w:r>
    </w:p>
    <w:tbl>
      <w:tblPr>
        <w:tblW w:type="auto" w:w="0"/>
        <w:jc w:val="center"/>
        <w:tblLook w:firstColumn="1" w:firstRow="1" w:lastColumn="0" w:lastRow="0" w:noHBand="0" w:noVBand="1" w:val="04A0"/>
      </w:tblPr>
      <w:tblGrid>
        <w:gridCol w:w="9375"/>
      </w:tblGrid>
      <w:tr>
        <w:tc>
          <w:tcPr>
            <w:tcW w:type="dxa" w:w="9375"/>
            <w:shd w:fill="FFF2CC"/>
          </w:tcPr>
          <w:p>
            <w:pPr>
              <w:spacing w:after="0" w:line="254" w:lineRule="auto"/>
            </w:pPr>
            <w:r/>
            <w:r>
              <w:rPr>
                <w:rFonts w:ascii="Times New Roman" w:hAnsi="Times New Roman" w:eastAsia="Times New Roman"/>
                <w:b/>
                <w:i w:val="0"/>
                <w:color w:val="7F6000"/>
                <w:sz w:val="18"/>
              </w:rPr>
              <w:t>TEST DATA AND PAYMENT SAFETY. Use designated test accounts, synthetic tutor evidence, disposable records, and practice assessments. Complete a payment only when an approved sandbox/test gateway and test authorization credentials are available. Never use real card, wallet, OTP, identity, transcript, or payment data. If a feature or safe test fixture is unavailable, record it as unavailable; do not mark it as passed.</w:t>
            </w:r>
          </w:p>
        </w:tc>
      </w:tr>
    </w:tbl>
    <w:p>
      <w:pPr>
        <w:keepNext/>
        <w:spacing w:before="160" w:after="60"/>
      </w:pPr>
      <w:r>
        <w:rPr>
          <w:rFonts w:ascii="Times New Roman" w:hAnsi="Times New Roman" w:eastAsia="Times New Roman"/>
          <w:b/>
          <w:i w:val="0"/>
          <w:color w:val="000000"/>
          <w:sz w:val="25"/>
        </w:rPr>
        <w:t>Member allocation</w:t>
      </w:r>
    </w:p>
    <w:tbl>
      <w:tblPr>
        <w:tblW w:type="auto" w:w="0"/>
        <w:jc w:val="center"/>
        <w:tblLayout w:type="fixed"/>
        <w:tblLook w:firstColumn="1" w:firstRow="1" w:lastColumn="0" w:lastRow="0" w:noHBand="0" w:noVBand="1" w:val="04A0"/>
      </w:tblPr>
      <w:tblGrid>
        <w:gridCol w:w="2232"/>
        <w:gridCol w:w="3960"/>
        <w:gridCol w:w="1296"/>
        <w:gridCol w:w="1541"/>
      </w:tblGrid>
      <w:tr>
        <w:tc>
          <w:tcPr>
            <w:tcW w:type="dxa" w:w="2232"/>
            <w:tcW w:w="2232"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Member</w:t>
            </w:r>
          </w:p>
        </w:tc>
        <w:tc>
          <w:tcPr>
            <w:tcW w:type="dxa" w:w="3960"/>
            <w:tcW w:w="3960"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Assigned scope</w:t>
            </w:r>
          </w:p>
        </w:tc>
        <w:tc>
          <w:tcPr>
            <w:tcW w:type="dxa" w:w="1296"/>
            <w:tcW w:w="1296"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Tasks</w:t>
            </w:r>
          </w:p>
        </w:tc>
        <w:tc>
          <w:tcPr>
            <w:tcW w:type="dxa" w:w="1540"/>
            <w:tcW w:w="1540"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Allocation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IT23730724 | V. D. Wijesiri</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Booking, Scheduling &amp; Payment (tutor availability, booking, OTP verification, escrow payment, receipt)</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T1, T2</w:t>
            </w:r>
          </w:p>
        </w:tc>
        <w:tc>
          <w:tcPr>
            <w:tcW w:type="dxa" w:w="15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2 tasks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IT23721128 | W. K. Nethmi</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Academic Management &amp; Tutor Discovery (search, filters, profiles, comparison, reviews)</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T3, T4</w:t>
            </w:r>
          </w:p>
        </w:tc>
        <w:tc>
          <w:tcPr>
            <w:tcW w:type="dxa" w:w="15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2 tasks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IT23725256 | R. G. C. S. Ranasinghe</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val="0"/>
                <w:i w:val="0"/>
                <w:color w:val="000000"/>
                <w:sz w:val="16"/>
              </w:rPr>
              <w:t>Learning Management, Assessments &amp; Administration (dashboard, materials, assessments, integrity, moderation)</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T5, T6</w:t>
            </w:r>
          </w:p>
        </w:tc>
        <w:tc>
          <w:tcPr>
            <w:tcW w:type="dxa" w:w="15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
              <w:rPr>
                <w:rFonts w:ascii="Times New Roman" w:hAnsi="Times New Roman" w:eastAsia="Times New Roman"/>
                <w:b w:val="0"/>
                <w:i w:val="0"/>
                <w:color w:val="000000"/>
                <w:sz w:val="16"/>
              </w:rPr>
              <w:t>2 tasks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IT23729384 | N. G. H. Rashini</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val="0"/>
                <w:i w:val="0"/>
                <w:color w:val="000000"/>
                <w:sz w:val="16"/>
              </w:rPr>
              <w:t>User Management &amp; Platform Services (registration, SLIIT verification, role login, tutor credentials, profile)</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T7, T8</w:t>
            </w:r>
          </w:p>
        </w:tc>
        <w:tc>
          <w:tcPr>
            <w:tcW w:type="dxa" w:w="15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center"/>
            </w:pPr>
            <w:r/>
            <w:r>
              <w:rPr>
                <w:rFonts w:ascii="Times New Roman" w:hAnsi="Times New Roman" w:eastAsia="Times New Roman"/>
                <w:b w:val="0"/>
                <w:i w:val="0"/>
                <w:color w:val="000000"/>
                <w:sz w:val="16"/>
              </w:rPr>
              <w:t>2 tasks</w:t>
            </w:r>
          </w:p>
        </w:tc>
      </w:tr>
    </w:tbl>
    <w:p>
      <w:pPr>
        <w:spacing w:after="100" w:line="259" w:lineRule="auto"/>
      </w:pPr>
      <w:r>
        <w:rPr>
          <w:rFonts w:ascii="Times New Roman" w:hAnsi="Times New Roman" w:eastAsia="Times New Roman"/>
          <w:b w:val="0"/>
          <w:i w:val="0"/>
          <w:color w:val="000000"/>
          <w:sz w:val="18"/>
        </w:rPr>
        <w:t>Equal coverage rule: with five participants, each member scope receives two tasks and ten planned attempts (25% of 40 total attempts). This is an equal allocation by task and attempt count; it does not imply that every feature or CRUD operation in a member’s full scope is covered by only these two scenarios.</w:t>
      </w:r>
    </w:p>
    <w:p>
      <w:pPr>
        <w:keepNext/>
        <w:spacing w:before="160" w:after="60"/>
      </w:pPr>
      <w:r>
        <w:rPr>
          <w:rFonts w:ascii="Times New Roman" w:hAnsi="Times New Roman" w:eastAsia="Times New Roman"/>
          <w:b/>
          <w:i w:val="0"/>
          <w:color w:val="000000"/>
          <w:sz w:val="25"/>
        </w:rPr>
        <w:t>Task scenarios</w:t>
      </w:r>
    </w:p>
    <w:p>
      <w:pPr>
        <w:spacing w:after="100" w:line="259" w:lineRule="auto"/>
      </w:pPr>
      <w:r>
        <w:rPr>
          <w:rFonts w:ascii="Times New Roman" w:hAnsi="Times New Roman" w:eastAsia="Times New Roman"/>
          <w:b w:val="0"/>
          <w:i w:val="0"/>
          <w:color w:val="000000"/>
          <w:sz w:val="19"/>
        </w:rPr>
        <w:t>Before a session, prepare the test accounts and records listed under each task. Read only the goal to the participant. Do not demonstrate the route or tell them which buttons to use. The observer records completion, time, assistance, errors, and any feature that is unavailable in the tested build.</w:t>
      </w:r>
    </w:p>
    <w:tbl>
      <w:tblPr>
        <w:tblW w:type="auto" w:w="0"/>
        <w:jc w:val="center"/>
        <w:tblLayout w:type="fixed"/>
        <w:tblLook w:firstColumn="1" w:firstRow="1" w:lastColumn="0" w:lastRow="0" w:noHBand="0" w:noVBand="1" w:val="04A0"/>
      </w:tblPr>
      <w:tblGrid>
        <w:gridCol w:w="2736"/>
        <w:gridCol w:w="6437"/>
      </w:tblGrid>
      <w:tr>
        <w:trPr>
          <w:tblHeader w:val="true"/>
        </w:trPr>
        <w:tc>
          <w:tcPr>
            <w:tcW w:type="dxa" w:w="2736"/>
            <w:tcW w:w="2736"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Task and member scope</w:t>
            </w:r>
          </w:p>
        </w:tc>
        <w:tc>
          <w:tcPr>
            <w:tcW w:type="dxa" w:w="6436"/>
            <w:tcW w:w="6436" w:type="dxa"/>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Goal, success check, and preparation</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T1 | M1 Availability and slot management</w:t>
              <w:br/>
              <w:t>IT23730724 | V. D. Wijesiri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As a tutor, create a future unbooked availability slot for [test module/topic], check it in your schedule, change its time or fee, and remove the disposable slot when you finish.</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slot appears after creation; the changed value remains after leaving and reopening the schedule; and the deleted test slot no longer appears.</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a tutor test account and a future date. Do not edit or delete another user’s or a booked slot. Remove only the slot created for this test.</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T2 | M1 Session booking and payment record</w:t>
              <w:br/>
              <w:t>IT23730724 | V. D. Wijesiri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As a student, choose an available one-to-one session, review the tutor, topic, time and fee, complete the approved sandbox authorization/OTP step if one is presented, then find the resulting booking and receipt.</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selected booking details match the review screen. If the approved sandbox path is available, the final payment status and receipt correspond to the test transaction and the booking appears in the booking list. If no sandbox credentials are supplied, stop before payment and record the payment/OTP/receipt steps as unavailable.</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only a reserved test slot and approved sandbox credentials. Never enter a real card, wallet PIN, OTP, or bank detail. Cancel the resulting test booking only if the app provides a safe cancellation action. Do not claim that an escrow hold was verified unless the app displays a test status for it.</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T3 | Academic search and saved tutors</w:t>
              <w:br/>
              <w:t>IT23721128 | W. K. Nethmi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Find tutors for [test module, for example Data Structures], use the available filters, compare two tutor profiles, save the tutor you would consider contacting, and then remove that tutor from your saved list.</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search shows a relevant test profile; the participant can inspect and compare visible details; the chosen tutor appears in the saved list after leaving and returning; and the entry disappears after removal.</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Provide at least two visible test tutor profiles when available. If fewer than two are returned, record the data limitation and complete the search and save/remove portions. Remove only the test shortlist entry.</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T4 | Tutor reviews and ratings</w:t>
              <w:br/>
              <w:t>IT23721128 | W. K. Nethmi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Using the student test account, leave a short rating and review for the designated test tutor, reopen it to change one detail, and delete the test review when finished.</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 appears once under the correct test account; the edited rating or comment remains after reopening; and the participant can remove their own test review so it no longer appears.</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a designated tutor and an eligible student test account. If the app requires a completed booking before review submission, prepare a test booking or mark the review task unavailable; do not use another participant’s review.</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T5 | Learning goals, study resources and progress report</w:t>
              <w:br/>
              <w:t>IT23725256 | R. G. C. S. Ranasinghe</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From the learning area, find the designated test goal for [module], log progress on it, open a related sample study resource, and return to the goal or analytics view to check the updated progress.</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resource opens; the progress action is acknowledged; and the changed progress or report value is visible after returning to the learning area. If the tested build provides a create/edit/remove action for a disposable goal or resource, use it only on the test record and verify its state after reopening.</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a student test account, a sample resource, and a disposable goal. Record which create, update, or delete actions are actually available; do not assume that every record supports all CRUD operations.</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T6 | Practice assessment and moderation</w:t>
              <w:br/>
              <w:t>IT23725256 | R. G. C. S. Ranasinghe</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Complete one designated practice assessment, view its result, then use the authorized tutor/reviewer test account to inspect the matching synthetic submission and record the available feedback or moderation decision.</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practice result belongs to the test attempt; the reviewer opens the corresponding synthetic submission; and the saved feedback/status is visible when the review queue or record is reopened.</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only a published practice paper and a synthetic submission. Do not open, grade, or change a live or graded student assessment. If the reviewer action is unavailable in the tested build, record that part as unavailable.</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T7 | Registration, role access and profile</w:t>
              <w:br/>
              <w:t>IT23729384 | N. G. H. Rashini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Using the designated test details, register or sign in to the assigned student/tutor test role, check the account or verification status, update one permitted profile field, and reopen the profile.</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participant reaches the correct role-specific area; the status shown belongs to the test account; and the changed profile field remains after navigating away and returning.</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a test email/account and synthetic information only. If verification requires a code, use the designated test channel. Never upload a real identity card or academic transcript. Restore the original test profile value after the session.</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T8 | Tutor evidence review and account status</w:t>
              <w:br/>
              <w:t>IT23729384 | N. G. H. Rashini</w:t>
            </w:r>
          </w:p>
        </w:tc>
        <w:tc>
          <w:tcPr>
            <w:tcW w:type="dxa" w:w="6436"/>
            <w:vAlign w:val="center"/>
            <w:tcMar>
              <w:top w:w="100" w:type="dxa"/>
              <w:start w:w="115" w:type="dxa"/>
              <w:bottom w:w="100" w:type="dxa"/>
              <w:end w:w="115"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47" w:lineRule="auto"/>
            </w:pPr>
            <w:r/>
            <w:r>
              <w:rPr>
                <w:rFonts w:ascii="Times New Roman" w:hAnsi="Times New Roman" w:eastAsia="Times New Roman"/>
                <w:b/>
                <w:i w:val="0"/>
                <w:color w:val="000000"/>
                <w:sz w:val="16"/>
              </w:rPr>
              <w:t xml:space="preserve">Participant goal: </w:t>
            </w:r>
            <w:r>
              <w:rPr>
                <w:rFonts w:ascii="Times New Roman" w:hAnsi="Times New Roman" w:eastAsia="Times New Roman"/>
                <w:b w:val="0"/>
                <w:i w:val="0"/>
                <w:color w:val="000000"/>
                <w:sz w:val="16"/>
              </w:rPr>
              <w:t>As an authorized reviewer, open the designated synthetic tutor application, inspect its test credential evidence, approve it or request re-upload as instructed, then return to the application list and reopen the record.</w:t>
            </w:r>
          </w:p>
          <w:p>
            <w:pPr>
              <w:spacing w:after="6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reviewer can inspect the synthetic record, the selected review action is acknowledged, and the updated status remains visible after reopening. No real user account or evidence is changed.</w:t>
            </w:r>
          </w:p>
          <w:p>
            <w:pPr>
              <w:spacing w:after="60" w:line="247" w:lineRule="auto"/>
            </w:pPr>
            <w:r>
              <w:rPr>
                <w:rFonts w:ascii="Times New Roman" w:hAnsi="Times New Roman" w:eastAsia="Times New Roman"/>
                <w:b/>
                <w:i w:val="0"/>
                <w:color w:val="000000"/>
                <w:sz w:val="16"/>
              </w:rPr>
              <w:t xml:space="preserve">Prepare / clean up: </w:t>
            </w:r>
            <w:r>
              <w:rPr>
                <w:rFonts w:ascii="Times New Roman" w:hAnsi="Times New Roman" w:eastAsia="Times New Roman"/>
                <w:b w:val="0"/>
                <w:i w:val="0"/>
                <w:color w:val="000000"/>
                <w:sz w:val="16"/>
              </w:rPr>
              <w:t>Use an authorized reviewer account and a pending synthetic tutor application with mock evidence. If no such application exists, mark the task unavailable instead of acting on a real person’s account.</w:t>
            </w:r>
          </w:p>
        </w:tc>
      </w:tr>
    </w:tbl>
    <w:p>
      <w:pPr>
        <w:keepNext/>
        <w:spacing w:before="160" w:after="60"/>
      </w:pPr>
      <w:r>
        <w:rPr>
          <w:rFonts w:ascii="Times New Roman" w:hAnsi="Times New Roman" w:eastAsia="Times New Roman"/>
          <w:b/>
          <w:i w:val="0"/>
          <w:color w:val="000000"/>
          <w:sz w:val="25"/>
        </w:rPr>
        <w:t>Observer recording fields</w:t>
      </w:r>
    </w:p>
    <w:p>
      <w:pPr>
        <w:spacing w:after="80" w:line="259" w:lineRule="auto"/>
      </w:pPr>
      <w:r>
        <w:rPr>
          <w:rFonts w:ascii="Times New Roman" w:hAnsi="Times New Roman" w:eastAsia="Times New Roman"/>
          <w:b w:val="0"/>
          <w:i w:val="0"/>
          <w:color w:val="000000"/>
          <w:sz w:val="19"/>
        </w:rPr>
        <w:t>For each participant and task, record: participant ID [enter]; test date/time [enter]; phone model and OS [enter]; app version/build [enter]; environment [enter]; outcome (independent / assisted / incomplete / unavailable); time on task [enter]; errors [enter]; brief observed behavior [enter]; and evidence reference [enter]. Keep participant names, passwords, identity documents, and payment credentials out of the report.</w:t>
      </w:r>
    </w:p>
    <w:p>
      <w:pPr>
        <w:keepNext/>
        <w:spacing w:before="100" w:after="60"/>
      </w:pPr>
      <w:r>
        <w:rPr>
          <w:rFonts w:ascii="Times New Roman" w:hAnsi="Times New Roman" w:eastAsia="Times New Roman"/>
          <w:b/>
          <w:i w:val="0"/>
          <w:color w:val="000000"/>
          <w:sz w:val="21"/>
        </w:rPr>
        <w:t>Task allocation check</w:t>
      </w:r>
    </w:p>
    <w:p>
      <w:pPr>
        <w:spacing w:after="80" w:line="259" w:lineRule="auto"/>
      </w:pPr>
      <w:r>
        <w:rPr>
          <w:rFonts w:ascii="Times New Roman" w:hAnsi="Times New Roman" w:eastAsia="Times New Roman"/>
          <w:b w:val="0"/>
          <w:i w:val="0"/>
          <w:color w:val="000000"/>
          <w:sz w:val="19"/>
        </w:rPr>
        <w:t>M1: T1-T2 | M2: T3-T4 | M3: T5-T6 | M4: T7-T8. Each member has exactly two tasks. If five participants attempt all eight tasks, the planned allocation is ten attempts per member.</w:t>
      </w:r>
    </w:p>
    <w:sectPr w:rsidR="00FC693F" w:rsidRPr="0006063C" w:rsidSect="00034616">
      <w:footerReference w:type="default" r:id="rId9"/>
      <w:pgSz w:w="11909" w:h="16834"/>
      <w:pgMar w:top="1123" w:right="1267" w:bottom="1123"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val="0"/>
        <w:i w:val="0"/>
        <w:color w:val="666666"/>
        <w:sz w:val="15"/>
      </w:rPr>
      <w:t>UniMentor | Assignment 3 Usability Task Scenarios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UniMentor Usability Testing Task List</dc:title>
  <dc:subject>Eight usability tasks balanced across four member scopes</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