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8.1 Usability Testing Task Scenarios</w:t>
      </w:r>
    </w:p>
    <w:p>
      <w:pPr>
        <w:spacing w:after="160"/>
      </w:pPr>
      <w:r>
        <w:rPr>
          <w:b/>
          <w:color w:val="555555"/>
          <w:sz w:val="21"/>
        </w:rPr>
        <w:t>UniMentor mobile application</w:t>
      </w:r>
    </w:p>
    <w:p>
      <w:r>
        <w:rPr>
          <w:b/>
        </w:rPr>
        <w:t xml:space="preserve">Purpose. </w:t>
      </w:r>
      <w:r>
        <w:t>These eight goal-based tasks are aligned with the project’s M1-M4 member scopes and features present in the current repository. Read the goal to the participant; keep the success check for the observer. This is a planned task set, not a record of completed sessions or results.</w:t>
      </w:r>
    </w:p>
    <w:p>
      <w:r>
        <w:rPr>
          <w:b/>
        </w:rPr>
        <w:t xml:space="preserve">Before testing. </w:t>
      </w:r>
      <w:r>
        <w:t>Prepare a student test account, a tutor test account, and an authorized staff-review account. Have two test tutor profiles, a pending synthetic tutor application, one future test slot, and sample learning material and practice assessment available. Use test data only. If a required screen or record is unavailable, mark that task “Not available in the tested build” and record why; do not infer success.</w:t>
      </w:r>
    </w:p>
    <w:p>
      <w:r>
        <w:rPr>
          <w:b/>
        </w:rPr>
        <w:t xml:space="preserve">Safety boundary. </w:t>
      </w:r>
      <w:r>
        <w:t>Task T5 ends at the booking/payment review. The app completes its booking flow after the payment step, so do not press the final pay/confirm control or use a real payment method during this usability session. Use only disposable test records and remove them after testing where the app allows.</w:t>
      </w:r>
    </w:p>
    <w:tbl>
      <w:tblPr>
        <w:tblStyle w:val="TableGrid"/>
        <w:tblW w:type="auto" w:w="0"/>
        <w:jc w:val="center"/>
        <w:tblLayout w:type="fixed"/>
        <w:tblLook w:firstColumn="1" w:firstRow="1" w:lastColumn="0" w:lastRow="0" w:noHBand="0" w:noVBand="1" w:val="04A0"/>
        <w:tblBorders>
          <w:top w:val="single" w:sz="5" w:space="0" w:color="BBC7D4"/>
          <w:left w:val="single" w:sz="5" w:space="0" w:color="BBC7D4"/>
          <w:bottom w:val="single" w:sz="5" w:space="0" w:color="BBC7D4"/>
          <w:right w:val="single" w:sz="5" w:space="0" w:color="BBC7D4"/>
          <w:insideH w:val="single" w:sz="5" w:space="0" w:color="BBC7D4"/>
          <w:insideV w:val="single" w:sz="5" w:space="0" w:color="BBC7D4"/>
        </w:tblBorders>
      </w:tblPr>
      <w:tblGrid>
        <w:gridCol w:w="4874"/>
        <w:gridCol w:w="4874"/>
      </w:tblGrid>
      <w:tr>
        <w:trPr>
          <w:tblHeader/>
        </w:trPr>
        <w:tc>
          <w:tcPr>
            <w:tcW w:type="dxa" w:w="3269"/>
            <w:vAlign w:val="center"/>
            <w:shd w:fill="19314E"/>
            <w:tcMar>
              <w:top w:w="90" w:type="dxa"/>
              <w:start w:w="100" w:type="dxa"/>
              <w:bottom w:w="90" w:type="dxa"/>
              <w:end w:w="100" w:type="dxa"/>
            </w:tcMar>
          </w:tcPr>
          <w:p>
            <w:pPr>
              <w:spacing w:after="0"/>
            </w:pPr>
            <w:r>
              <w:rPr>
                <w:rFonts w:ascii="Times New Roman" w:hAnsi="Times New Roman"/>
                <w:b/>
                <w:color w:val="FFFFFF"/>
                <w:sz w:val="19"/>
              </w:rPr>
              <w:t>Task and member scope</w:t>
            </w:r>
          </w:p>
        </w:tc>
        <w:tc>
          <w:tcPr>
            <w:tcW w:type="dxa" w:w="6509"/>
            <w:vAlign w:val="center"/>
            <w:shd w:fill="19314E"/>
            <w:tcMar>
              <w:top w:w="90" w:type="dxa"/>
              <w:start w:w="100" w:type="dxa"/>
              <w:bottom w:w="90" w:type="dxa"/>
              <w:end w:w="100" w:type="dxa"/>
            </w:tcMar>
          </w:tcPr>
          <w:p>
            <w:pPr>
              <w:spacing w:after="0"/>
            </w:pPr>
            <w:r>
              <w:rPr>
                <w:rFonts w:ascii="Times New Roman" w:hAnsi="Times New Roman"/>
                <w:b/>
                <w:color w:val="FFFFFF"/>
                <w:sz w:val="19"/>
              </w:rPr>
              <w:t>Goal and success check</w:t>
            </w:r>
          </w:p>
        </w:tc>
      </w:tr>
      <w:tr>
        <w:trPr>
          <w:cantSplit/>
        </w:trPr>
        <w:tc>
          <w:tcPr>
            <w:tcW w:type="dxa" w:w="3269"/>
            <w:vAlign w:val="center"/>
            <w:tcMar>
              <w:top w:w="85" w:type="dxa"/>
              <w:start w:w="100" w:type="dxa"/>
              <w:bottom w:w="85" w:type="dxa"/>
              <w:end w:w="100" w:type="dxa"/>
            </w:tcMar>
          </w:tcPr>
          <w:p>
            <w:pPr>
              <w:spacing w:after="0" w:line="247" w:lineRule="auto"/>
            </w:pPr>
            <w:r>
              <w:rPr>
                <w:rFonts w:ascii="Times New Roman" w:hAnsi="Times New Roman"/>
                <w:b/>
                <w:sz w:val="18"/>
              </w:rPr>
              <w:t>T1 - M4 User Management and Platform Services</w:t>
            </w:r>
            <w:r>
              <w:br/>
            </w:r>
            <w:r>
              <w:rPr>
                <w:rFonts w:ascii="Times New Roman" w:hAnsi="Times New Roman"/>
                <w:b w:val="0"/>
                <w:sz w:val="18"/>
              </w:rPr>
              <w:t>M4-09; FR01, NFR01, NFR08</w:t>
            </w:r>
          </w:p>
        </w:tc>
        <w:tc>
          <w:tcPr>
            <w:tcW w:type="dxa" w:w="6509"/>
            <w:vAlign w:val="center"/>
            <w:tcMar>
              <w:top w:w="85" w:type="dxa"/>
              <w:start w:w="100" w:type="dxa"/>
              <w:bottom w:w="85" w:type="dxa"/>
              <w:end w:w="100" w:type="dxa"/>
            </w:tcMar>
          </w:tcPr>
          <w:p>
            <w:pPr>
              <w:spacing w:after="0" w:line="247" w:lineRule="auto"/>
            </w:pPr>
            <w:r>
              <w:rPr>
                <w:rFonts w:ascii="Times New Roman" w:hAnsi="Times New Roman"/>
                <w:b/>
                <w:sz w:val="18"/>
              </w:rPr>
              <w:t>Goal:</w:t>
            </w:r>
            <w:r>
              <w:rPr>
                <w:rFonts w:ascii="Times New Roman" w:hAnsi="Times New Roman"/>
                <w:sz w:val="18"/>
              </w:rPr>
              <w:t xml:space="preserve"> “Update one permitted profile detail, such as your short bio or phone number, so it reflects your current study or tutoring preferences.”</w:t>
            </w:r>
            <w:r>
              <w:br/>
            </w:r>
            <w:r>
              <w:rPr>
                <w:rFonts w:ascii="Times New Roman" w:hAnsi="Times New Roman"/>
                <w:b w:val="0"/>
                <w:sz w:val="18"/>
              </w:rPr>
            </w:r>
            <w:r>
              <w:br/>
            </w:r>
            <w:r>
              <w:rPr>
                <w:rFonts w:ascii="Times New Roman" w:hAnsi="Times New Roman"/>
                <w:b/>
                <w:sz w:val="18"/>
              </w:rPr>
              <w:t>Success check:</w:t>
            </w:r>
            <w:r>
              <w:rPr>
                <w:rFonts w:ascii="Times New Roman" w:hAnsi="Times New Roman"/>
                <w:sz w:val="18"/>
              </w:rPr>
              <w:t xml:space="preserve"> The participant saves the change, leaves the profile, reopens it, and sees the same value. Restore the original test value after the session.</w:t>
            </w:r>
          </w:p>
        </w:tc>
      </w:tr>
      <w:tr>
        <w:trPr>
          <w:cantSplit/>
        </w:trPr>
        <w:tc>
          <w:tcPr>
            <w:tcW w:type="dxa" w:w="3269"/>
            <w:vAlign w:val="center"/>
            <w:shd w:fill="F4F7FA"/>
            <w:tcMar>
              <w:top w:w="85" w:type="dxa"/>
              <w:start w:w="100" w:type="dxa"/>
              <w:bottom w:w="85" w:type="dxa"/>
              <w:end w:w="100" w:type="dxa"/>
            </w:tcMar>
          </w:tcPr>
          <w:p>
            <w:pPr>
              <w:spacing w:after="0" w:line="247" w:lineRule="auto"/>
            </w:pPr>
            <w:r>
              <w:rPr>
                <w:rFonts w:ascii="Times New Roman" w:hAnsi="Times New Roman"/>
                <w:b/>
                <w:sz w:val="18"/>
              </w:rPr>
              <w:t>T2 - M2 Academic Management and Tutor Discovery</w:t>
            </w:r>
            <w:r>
              <w:br/>
            </w:r>
            <w:r>
              <w:rPr>
                <w:rFonts w:ascii="Times New Roman" w:hAnsi="Times New Roman"/>
                <w:b w:val="0"/>
                <w:sz w:val="18"/>
              </w:rPr>
              <w:t>M2-01, M2-04, M2-05; FR08, FR11, FR12</w:t>
            </w:r>
          </w:p>
        </w:tc>
        <w:tc>
          <w:tcPr>
            <w:tcW w:type="dxa" w:w="6509"/>
            <w:vAlign w:val="center"/>
            <w:shd w:fill="F4F7FA"/>
            <w:tcMar>
              <w:top w:w="85" w:type="dxa"/>
              <w:start w:w="100" w:type="dxa"/>
              <w:bottom w:w="85" w:type="dxa"/>
              <w:end w:w="100" w:type="dxa"/>
            </w:tcMar>
          </w:tcPr>
          <w:p>
            <w:pPr>
              <w:spacing w:after="0" w:line="247" w:lineRule="auto"/>
            </w:pPr>
            <w:r>
              <w:rPr>
                <w:rFonts w:ascii="Times New Roman" w:hAnsi="Times New Roman"/>
                <w:b/>
                <w:sz w:val="18"/>
              </w:rPr>
              <w:t>Goal:</w:t>
            </w:r>
            <w:r>
              <w:rPr>
                <w:rFonts w:ascii="Times New Roman" w:hAnsi="Times New Roman"/>
                <w:sz w:val="18"/>
              </w:rPr>
              <w:t xml:space="preserve"> “Find tutors for Data Structures, open a profile, compare two visible tutor options, and save the one you would consider contacting.”</w:t>
            </w:r>
            <w:r>
              <w:br/>
            </w:r>
            <w:r>
              <w:rPr>
                <w:rFonts w:ascii="Times New Roman" w:hAnsi="Times New Roman"/>
                <w:b w:val="0"/>
                <w:sz w:val="18"/>
              </w:rPr>
            </w:r>
            <w:r>
              <w:br/>
            </w:r>
            <w:r>
              <w:rPr>
                <w:rFonts w:ascii="Times New Roman" w:hAnsi="Times New Roman"/>
                <w:b/>
                <w:sz w:val="18"/>
              </w:rPr>
              <w:t>Success check:</w:t>
            </w:r>
            <w:r>
              <w:rPr>
                <w:rFonts w:ascii="Times New Roman" w:hAnsi="Times New Roman"/>
                <w:sz w:val="18"/>
              </w:rPr>
              <w:t xml:space="preserve"> The search returns a relevant test profile; visible profile details can be compared; the selected tutor appears in the saved list after leaving and returning. Remove the test shortlist entry after the session. If fewer than two profiles are available, record that limitation and complete the search/save portion.</w:t>
            </w:r>
          </w:p>
        </w:tc>
      </w:tr>
      <w:tr>
        <w:trPr>
          <w:cantSplit/>
        </w:trPr>
        <w:tc>
          <w:tcPr>
            <w:tcW w:type="dxa" w:w="3269"/>
            <w:vAlign w:val="center"/>
            <w:tcMar>
              <w:top w:w="85" w:type="dxa"/>
              <w:start w:w="100" w:type="dxa"/>
              <w:bottom w:w="85" w:type="dxa"/>
              <w:end w:w="100" w:type="dxa"/>
            </w:tcMar>
          </w:tcPr>
          <w:p>
            <w:pPr>
              <w:spacing w:after="0" w:line="247" w:lineRule="auto"/>
            </w:pPr>
            <w:r>
              <w:rPr>
                <w:rFonts w:ascii="Times New Roman" w:hAnsi="Times New Roman"/>
                <w:b/>
                <w:sz w:val="18"/>
              </w:rPr>
              <w:t>T3 - M2 Tutor Reviews</w:t>
            </w:r>
            <w:r>
              <w:br/>
            </w:r>
            <w:r>
              <w:rPr>
                <w:rFonts w:ascii="Times New Roman" w:hAnsi="Times New Roman"/>
                <w:b w:val="0"/>
                <w:sz w:val="18"/>
              </w:rPr>
              <w:t>M2-11; FR10, HMW01</w:t>
            </w:r>
          </w:p>
        </w:tc>
        <w:tc>
          <w:tcPr>
            <w:tcW w:type="dxa" w:w="6509"/>
            <w:vAlign w:val="center"/>
            <w:tcMar>
              <w:top w:w="85" w:type="dxa"/>
              <w:start w:w="100" w:type="dxa"/>
              <w:bottom w:w="85" w:type="dxa"/>
              <w:end w:w="100" w:type="dxa"/>
            </w:tcMar>
          </w:tcPr>
          <w:p>
            <w:pPr>
              <w:spacing w:after="0" w:line="247" w:lineRule="auto"/>
            </w:pPr>
            <w:r>
              <w:rPr>
                <w:rFonts w:ascii="Times New Roman" w:hAnsi="Times New Roman"/>
                <w:b/>
                <w:sz w:val="18"/>
              </w:rPr>
              <w:t>Goal:</w:t>
            </w:r>
            <w:r>
              <w:rPr>
                <w:rFonts w:ascii="Times New Roman" w:hAnsi="Times New Roman"/>
                <w:sz w:val="18"/>
              </w:rPr>
              <w:t xml:space="preserve"> “Leave a short review for the designated test tutor, reopen your review to make one change, and remove it when you finish.”</w:t>
            </w:r>
            <w:r>
              <w:br/>
            </w:r>
            <w:r>
              <w:rPr>
                <w:rFonts w:ascii="Times New Roman" w:hAnsi="Times New Roman"/>
                <w:b w:val="0"/>
                <w:sz w:val="18"/>
              </w:rPr>
            </w:r>
            <w:r>
              <w:br/>
            </w:r>
            <w:r>
              <w:rPr>
                <w:rFonts w:ascii="Times New Roman" w:hAnsi="Times New Roman"/>
                <w:b/>
                <w:sz w:val="18"/>
              </w:rPr>
              <w:t>Success check:</w:t>
            </w:r>
            <w:r>
              <w:rPr>
                <w:rFonts w:ascii="Times New Roman" w:hAnsi="Times New Roman"/>
                <w:sz w:val="18"/>
              </w:rPr>
              <w:t xml:space="preserve"> The review appears once under the student test account, the edit remains after reopening, and the participant can remove their own test review. Confirm it is gone afterward.</w:t>
            </w:r>
          </w:p>
        </w:tc>
      </w:tr>
      <w:tr>
        <w:trPr>
          <w:cantSplit/>
        </w:trPr>
        <w:tc>
          <w:tcPr>
            <w:tcW w:type="dxa" w:w="3269"/>
            <w:vAlign w:val="center"/>
            <w:shd w:fill="F4F7FA"/>
            <w:tcMar>
              <w:top w:w="85" w:type="dxa"/>
              <w:start w:w="100" w:type="dxa"/>
              <w:bottom w:w="85" w:type="dxa"/>
              <w:end w:w="100" w:type="dxa"/>
            </w:tcMar>
          </w:tcPr>
          <w:p>
            <w:pPr>
              <w:spacing w:after="0" w:line="247" w:lineRule="auto"/>
            </w:pPr>
            <w:r>
              <w:rPr>
                <w:rFonts w:ascii="Times New Roman" w:hAnsi="Times New Roman"/>
                <w:b/>
                <w:sz w:val="18"/>
              </w:rPr>
              <w:t>T4 - M1 Tutor Availability and Slot Management</w:t>
            </w:r>
            <w:r>
              <w:br/>
            </w:r>
            <w:r>
              <w:rPr>
                <w:rFonts w:ascii="Times New Roman" w:hAnsi="Times New Roman"/>
                <w:b w:val="0"/>
                <w:sz w:val="18"/>
              </w:rPr>
              <w:t>M1-01; FR15-FR16</w:t>
            </w:r>
          </w:p>
        </w:tc>
        <w:tc>
          <w:tcPr>
            <w:tcW w:type="dxa" w:w="6509"/>
            <w:vAlign w:val="center"/>
            <w:shd w:fill="F4F7FA"/>
            <w:tcMar>
              <w:top w:w="85" w:type="dxa"/>
              <w:start w:w="100" w:type="dxa"/>
              <w:bottom w:w="85" w:type="dxa"/>
              <w:end w:w="100" w:type="dxa"/>
            </w:tcMar>
          </w:tcPr>
          <w:p>
            <w:pPr>
              <w:spacing w:after="0" w:line="247" w:lineRule="auto"/>
            </w:pPr>
            <w:r>
              <w:rPr>
                <w:rFonts w:ascii="Times New Roman" w:hAnsi="Times New Roman"/>
                <w:b/>
                <w:sz w:val="18"/>
              </w:rPr>
              <w:t>Goal:</w:t>
            </w:r>
            <w:r>
              <w:rPr>
                <w:rFonts w:ascii="Times New Roman" w:hAnsi="Times New Roman"/>
                <w:sz w:val="18"/>
              </w:rPr>
              <w:t xml:space="preserve"> “Create a future test availability slot for a study topic, change its time or fee, and then remove the slot.”</w:t>
            </w:r>
            <w:r>
              <w:br/>
            </w:r>
            <w:r>
              <w:rPr>
                <w:rFonts w:ascii="Times New Roman" w:hAnsi="Times New Roman"/>
                <w:b w:val="0"/>
                <w:sz w:val="18"/>
              </w:rPr>
            </w:r>
            <w:r>
              <w:br/>
            </w:r>
            <w:r>
              <w:rPr>
                <w:rFonts w:ascii="Times New Roman" w:hAnsi="Times New Roman"/>
                <w:b/>
                <w:sz w:val="18"/>
              </w:rPr>
              <w:t>Success check:</w:t>
            </w:r>
            <w:r>
              <w:rPr>
                <w:rFonts w:ascii="Times New Roman" w:hAnsi="Times New Roman"/>
                <w:sz w:val="18"/>
              </w:rPr>
              <w:t xml:space="preserve"> The slot appears in the tutor’s list, the edited value is visible after refreshing/reopening the list, and the deleted test slot no longer appears. Select a future date from the date picker. Use only an unbooked test slot; note if a change appears only in the current screen and does not remain after reopening.</w:t>
            </w:r>
          </w:p>
        </w:tc>
      </w:tr>
      <w:tr>
        <w:trPr>
          <w:cantSplit/>
        </w:trPr>
        <w:tc>
          <w:tcPr>
            <w:tcW w:type="dxa" w:w="3269"/>
            <w:vAlign w:val="center"/>
            <w:tcMar>
              <w:top w:w="85" w:type="dxa"/>
              <w:start w:w="100" w:type="dxa"/>
              <w:bottom w:w="85" w:type="dxa"/>
              <w:end w:w="100" w:type="dxa"/>
            </w:tcMar>
          </w:tcPr>
          <w:p>
            <w:pPr>
              <w:spacing w:after="0" w:line="247" w:lineRule="auto"/>
            </w:pPr>
            <w:r>
              <w:rPr>
                <w:rFonts w:ascii="Times New Roman" w:hAnsi="Times New Roman"/>
                <w:b/>
                <w:sz w:val="18"/>
              </w:rPr>
              <w:t>T5 - M1 Individual Booking Flow</w:t>
            </w:r>
            <w:r>
              <w:br/>
            </w:r>
            <w:r>
              <w:rPr>
                <w:rFonts w:ascii="Times New Roman" w:hAnsi="Times New Roman"/>
                <w:b w:val="0"/>
                <w:sz w:val="18"/>
              </w:rPr>
              <w:t>M1-02; FR17-FR19, NFR10</w:t>
            </w:r>
          </w:p>
        </w:tc>
        <w:tc>
          <w:tcPr>
            <w:tcW w:type="dxa" w:w="6509"/>
            <w:vAlign w:val="center"/>
            <w:tcMar>
              <w:top w:w="85" w:type="dxa"/>
              <w:start w:w="100" w:type="dxa"/>
              <w:bottom w:w="85" w:type="dxa"/>
              <w:end w:w="100" w:type="dxa"/>
            </w:tcMar>
          </w:tcPr>
          <w:p>
            <w:pPr>
              <w:spacing w:after="0" w:line="247" w:lineRule="auto"/>
            </w:pPr>
            <w:r>
              <w:rPr>
                <w:rFonts w:ascii="Times New Roman" w:hAnsi="Times New Roman"/>
                <w:b/>
                <w:sz w:val="18"/>
              </w:rPr>
              <w:t>Goal:</w:t>
            </w:r>
            <w:r>
              <w:rPr>
                <w:rFonts w:ascii="Times New Roman" w:hAnsi="Times New Roman"/>
                <w:sz w:val="18"/>
              </w:rPr>
              <w:t xml:space="preserve"> “Choose an available one-to-one tutoring time, enter the details requested by the app, and review the final session and fee summary.”</w:t>
            </w:r>
            <w:r>
              <w:br/>
            </w:r>
            <w:r>
              <w:rPr>
                <w:rFonts w:ascii="Times New Roman" w:hAnsi="Times New Roman"/>
                <w:b w:val="0"/>
                <w:sz w:val="18"/>
              </w:rPr>
            </w:r>
            <w:r>
              <w:br/>
            </w:r>
            <w:r>
              <w:rPr>
                <w:rFonts w:ascii="Times New Roman" w:hAnsi="Times New Roman"/>
                <w:b/>
                <w:sz w:val="18"/>
              </w:rPr>
              <w:t>Success check:</w:t>
            </w:r>
            <w:r>
              <w:rPr>
                <w:rFonts w:ascii="Times New Roman" w:hAnsi="Times New Roman"/>
                <w:sz w:val="18"/>
              </w:rPr>
              <w:t xml:space="preserve"> The displayed tutor, topic, date/time, and fee match the participant’s selections, and the participant can identify the final payment action. Stop at the review/payment step; do not submit payment or describe the session as booked.</w:t>
            </w:r>
          </w:p>
        </w:tc>
      </w:tr>
      <w:tr>
        <w:trPr>
          <w:cantSplit/>
        </w:trPr>
        <w:tc>
          <w:tcPr>
            <w:tcW w:type="dxa" w:w="3269"/>
            <w:vAlign w:val="center"/>
            <w:shd w:fill="F4F7FA"/>
            <w:tcMar>
              <w:top w:w="85" w:type="dxa"/>
              <w:start w:w="100" w:type="dxa"/>
              <w:bottom w:w="85" w:type="dxa"/>
              <w:end w:w="100" w:type="dxa"/>
            </w:tcMar>
          </w:tcPr>
          <w:p>
            <w:pPr>
              <w:spacing w:after="0" w:line="247" w:lineRule="auto"/>
            </w:pPr>
            <w:r>
              <w:rPr>
                <w:rFonts w:ascii="Times New Roman" w:hAnsi="Times New Roman"/>
                <w:b/>
                <w:sz w:val="18"/>
              </w:rPr>
              <w:t>T6 - M3 Learning Materials</w:t>
            </w:r>
            <w:r>
              <w:br/>
            </w:r>
            <w:r>
              <w:rPr>
                <w:rFonts w:ascii="Times New Roman" w:hAnsi="Times New Roman"/>
                <w:b w:val="0"/>
                <w:sz w:val="18"/>
              </w:rPr>
              <w:t>M3-02; HMW03, NFR01, NFR05, NFR08</w:t>
            </w:r>
          </w:p>
        </w:tc>
        <w:tc>
          <w:tcPr>
            <w:tcW w:type="dxa" w:w="6509"/>
            <w:vAlign w:val="center"/>
            <w:shd w:fill="F4F7FA"/>
            <w:tcMar>
              <w:top w:w="85" w:type="dxa"/>
              <w:start w:w="100" w:type="dxa"/>
              <w:bottom w:w="85" w:type="dxa"/>
              <w:end w:w="100" w:type="dxa"/>
            </w:tcMar>
          </w:tcPr>
          <w:p>
            <w:pPr>
              <w:spacing w:after="0" w:line="247" w:lineRule="auto"/>
            </w:pPr>
            <w:r>
              <w:rPr>
                <w:rFonts w:ascii="Times New Roman" w:hAnsi="Times New Roman"/>
                <w:b/>
                <w:sz w:val="18"/>
              </w:rPr>
              <w:t>Goal:</w:t>
            </w:r>
            <w:r>
              <w:rPr>
                <w:rFonts w:ascii="Times New Roman" w:hAnsi="Times New Roman"/>
                <w:sz w:val="18"/>
              </w:rPr>
              <w:t xml:space="preserve"> “Find a sample learning resource, open it, save it or update its progress, then return to check what you saved.”</w:t>
            </w:r>
            <w:r>
              <w:br/>
            </w:r>
            <w:r>
              <w:rPr>
                <w:rFonts w:ascii="Times New Roman" w:hAnsi="Times New Roman"/>
                <w:b w:val="0"/>
                <w:sz w:val="18"/>
              </w:rPr>
            </w:r>
            <w:r>
              <w:br/>
            </w:r>
            <w:r>
              <w:rPr>
                <w:rFonts w:ascii="Times New Roman" w:hAnsi="Times New Roman"/>
                <w:b/>
                <w:sz w:val="18"/>
              </w:rPr>
              <w:t>Success check:</w:t>
            </w:r>
            <w:r>
              <w:rPr>
                <w:rFonts w:ascii="Times New Roman" w:hAnsi="Times New Roman"/>
                <w:sz w:val="18"/>
              </w:rPr>
              <w:t xml:space="preserve"> The resource opens, the selected save/progress action is acknowledged, and its state remains when the participant revisits it. Use a sample resource or a resource created for testing.</w:t>
            </w:r>
          </w:p>
        </w:tc>
      </w:tr>
      <w:tr>
        <w:trPr>
          <w:cantSplit/>
        </w:trPr>
        <w:tc>
          <w:tcPr>
            <w:tcW w:type="dxa" w:w="3269"/>
            <w:vAlign w:val="center"/>
            <w:tcMar>
              <w:top w:w="85" w:type="dxa"/>
              <w:start w:w="100" w:type="dxa"/>
              <w:bottom w:w="85" w:type="dxa"/>
              <w:end w:w="100" w:type="dxa"/>
            </w:tcMar>
          </w:tcPr>
          <w:p>
            <w:pPr>
              <w:spacing w:after="0" w:line="247" w:lineRule="auto"/>
            </w:pPr>
            <w:r>
              <w:rPr>
                <w:rFonts w:ascii="Times New Roman" w:hAnsi="Times New Roman"/>
                <w:b/>
                <w:sz w:val="18"/>
              </w:rPr>
              <w:t>T7 - M3 Student Assessment Attempt</w:t>
            </w:r>
            <w:r>
              <w:br/>
            </w:r>
            <w:r>
              <w:rPr>
                <w:rFonts w:ascii="Times New Roman" w:hAnsi="Times New Roman"/>
                <w:b w:val="0"/>
                <w:sz w:val="18"/>
              </w:rPr>
              <w:t>M3-11; HMW03, NFR08</w:t>
            </w:r>
          </w:p>
        </w:tc>
        <w:tc>
          <w:tcPr>
            <w:tcW w:type="dxa" w:w="6509"/>
            <w:vAlign w:val="center"/>
            <w:tcMar>
              <w:top w:w="85" w:type="dxa"/>
              <w:start w:w="100" w:type="dxa"/>
              <w:bottom w:w="85" w:type="dxa"/>
              <w:end w:w="100" w:type="dxa"/>
            </w:tcMar>
          </w:tcPr>
          <w:p>
            <w:pPr>
              <w:spacing w:after="0" w:line="247" w:lineRule="auto"/>
            </w:pPr>
            <w:r>
              <w:rPr>
                <w:rFonts w:ascii="Times New Roman" w:hAnsi="Times New Roman"/>
                <w:b/>
                <w:sz w:val="18"/>
              </w:rPr>
              <w:t>Goal:</w:t>
            </w:r>
            <w:r>
              <w:rPr>
                <w:rFonts w:ascii="Times New Roman" w:hAnsi="Times New Roman"/>
                <w:sz w:val="18"/>
              </w:rPr>
              <w:t xml:space="preserve"> “Open a published practice assessment, answer at least one question, leave and reopen it, then submit the practice attempt and view the result.”</w:t>
            </w:r>
            <w:r>
              <w:br/>
            </w:r>
            <w:r>
              <w:rPr>
                <w:rFonts w:ascii="Times New Roman" w:hAnsi="Times New Roman"/>
                <w:b w:val="0"/>
                <w:sz w:val="18"/>
              </w:rPr>
            </w:r>
            <w:r>
              <w:br/>
            </w:r>
            <w:r>
              <w:rPr>
                <w:rFonts w:ascii="Times New Roman" w:hAnsi="Times New Roman"/>
                <w:b/>
                <w:sz w:val="18"/>
              </w:rPr>
              <w:t>Success check:</w:t>
            </w:r>
            <w:r>
              <w:rPr>
                <w:rFonts w:ascii="Times New Roman" w:hAnsi="Times New Roman"/>
                <w:sz w:val="18"/>
              </w:rPr>
              <w:t xml:space="preserve"> The saved answer is restored on reopening; submission is acknowledged; and the result belongs to that attempt. Use only a designated practice paper, not a live or graded assessment.</w:t>
            </w:r>
          </w:p>
        </w:tc>
      </w:tr>
      <w:tr>
        <w:trPr>
          <w:cantSplit/>
        </w:trPr>
        <w:tc>
          <w:tcPr>
            <w:tcW w:type="dxa" w:w="3269"/>
            <w:vAlign w:val="center"/>
            <w:shd w:fill="F4F7FA"/>
            <w:tcMar>
              <w:top w:w="85" w:type="dxa"/>
              <w:start w:w="100" w:type="dxa"/>
              <w:bottom w:w="85" w:type="dxa"/>
              <w:end w:w="100" w:type="dxa"/>
            </w:tcMar>
          </w:tcPr>
          <w:p>
            <w:pPr>
              <w:spacing w:after="0" w:line="247" w:lineRule="auto"/>
            </w:pPr>
            <w:r>
              <w:rPr>
                <w:rFonts w:ascii="Times New Roman" w:hAnsi="Times New Roman"/>
                <w:b/>
                <w:sz w:val="18"/>
              </w:rPr>
              <w:t>T8 - M4 Tutor Application Review</w:t>
            </w:r>
            <w:r>
              <w:br/>
            </w:r>
            <w:r>
              <w:rPr>
                <w:rFonts w:ascii="Times New Roman" w:hAnsi="Times New Roman"/>
                <w:b w:val="0"/>
                <w:sz w:val="18"/>
              </w:rPr>
              <w:t>M4-07, M4-08; FR06-FR07, NFR05, NFR09</w:t>
            </w:r>
          </w:p>
        </w:tc>
        <w:tc>
          <w:tcPr>
            <w:tcW w:type="dxa" w:w="6509"/>
            <w:vAlign w:val="center"/>
            <w:shd w:fill="F4F7FA"/>
            <w:tcMar>
              <w:top w:w="85" w:type="dxa"/>
              <w:start w:w="100" w:type="dxa"/>
              <w:bottom w:w="85" w:type="dxa"/>
              <w:end w:w="100" w:type="dxa"/>
            </w:tcMar>
          </w:tcPr>
          <w:p>
            <w:pPr>
              <w:spacing w:after="0" w:line="247" w:lineRule="auto"/>
            </w:pPr>
            <w:r>
              <w:rPr>
                <w:rFonts w:ascii="Times New Roman" w:hAnsi="Times New Roman"/>
                <w:b/>
                <w:sz w:val="18"/>
              </w:rPr>
              <w:t>Goal:</w:t>
            </w:r>
            <w:r>
              <w:rPr>
                <w:rFonts w:ascii="Times New Roman" w:hAnsi="Times New Roman"/>
                <w:sz w:val="18"/>
              </w:rPr>
              <w:t xml:space="preserve"> “As an authorized reviewer, inspect the designated synthetic tutor application and request additional evidence. Return to the application list and reopen the record.”</w:t>
            </w:r>
            <w:r>
              <w:br/>
            </w:r>
            <w:r>
              <w:rPr>
                <w:rFonts w:ascii="Times New Roman" w:hAnsi="Times New Roman"/>
                <w:b w:val="0"/>
                <w:sz w:val="18"/>
              </w:rPr>
            </w:r>
            <w:r>
              <w:br/>
            </w:r>
            <w:r>
              <w:rPr>
                <w:rFonts w:ascii="Times New Roman" w:hAnsi="Times New Roman"/>
                <w:b/>
                <w:sz w:val="18"/>
              </w:rPr>
              <w:t>Success check:</w:t>
            </w:r>
            <w:r>
              <w:rPr>
                <w:rFonts w:ascii="Times New Roman" w:hAnsi="Times New Roman"/>
                <w:sz w:val="18"/>
              </w:rPr>
              <w:t xml:space="preserve"> The application shows the review status after reopening, and no real user account or evidence is changed. If there is no synthetic pending application, mark the task unavailable rather than changing a real account.</w:t>
            </w:r>
          </w:p>
        </w:tc>
      </w:tr>
    </w:tbl>
    <w:p>
      <w:pPr>
        <w:spacing w:before="140" w:after="0"/>
      </w:pPr>
      <w:r>
        <w:rPr>
          <w:b/>
        </w:rPr>
        <w:t xml:space="preserve">Recording note. </w:t>
      </w:r>
      <w:r>
        <w:t>Record actual completion, time, assistance, errors, and participant comments during each session. Do not fill in results before a participant performs the task.</w:t>
      </w:r>
    </w:p>
    <w:sectPr w:rsidR="00FC693F" w:rsidRPr="0006063C" w:rsidSect="00034616">
      <w:pgSz w:w="11909" w:h="16834"/>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1C1C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b/>
      <w:bCs/>
      <w:color w:val="19314E"/>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b/>
      <w:bCs/>
      <w:color w:val="1931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Testing Task Scenarios</dc:title>
  <dc:subject>Eight repository-aligned UniMentor usability tasks</dc:subject>
  <dc:creator>UniMentor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