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Times New Roman" w:hAnsi="Times New Roman" w:eastAsia="Times New Roman"/>
          <w:b/>
          <w:i w:val="0"/>
          <w:color w:val="000000"/>
          <w:sz w:val="32"/>
        </w:rPr>
        <w:t>8 Usability Testing Plan Execution and Results</w:t>
      </w:r>
    </w:p>
    <w:p>
      <w:pPr>
        <w:spacing w:after="140"/>
      </w:pPr>
      <w:r>
        <w:rPr>
          <w:rFonts w:ascii="Times New Roman" w:hAnsi="Times New Roman" w:eastAsia="Times New Roman"/>
          <w:b w:val="0"/>
          <w:i/>
          <w:color w:val="333333"/>
          <w:sz w:val="20"/>
        </w:rPr>
        <w:t>UniMentor mobile application | Updated for eight tasks with two tasks per member</w:t>
      </w:r>
    </w:p>
    <w:tbl>
      <w:tblPr>
        <w:tblW w:type="auto" w:w="0"/>
        <w:jc w:val="center"/>
        <w:tblLook w:firstColumn="1" w:firstRow="1" w:lastColumn="0" w:lastRow="0" w:noHBand="0" w:noVBand="1" w:val="04A0"/>
      </w:tblPr>
      <w:tblGrid>
        <w:gridCol w:w="9547"/>
      </w:tblGrid>
      <w:tr>
        <w:tc>
          <w:tcPr>
            <w:tcW w:type="dxa" w:w="9547"/>
            <w:shd w:fill="FFF2CC"/>
            <w:tcMar>
              <w:top w:w="125" w:type="dxa"/>
              <w:start w:w="150" w:type="dxa"/>
              <w:bottom w:w="125" w:type="dxa"/>
              <w:end w:w="150" w:type="dxa"/>
            </w:tcMar>
            <w:tcBorders>
              <w:top w:val="single" w:sz="6" w:space="0" w:color="D6C9A8"/>
              <w:left w:val="single" w:sz="6" w:space="0" w:color="D6C9A8"/>
              <w:bottom w:val="single" w:sz="6" w:space="0" w:color="D6C9A8"/>
              <w:right w:val="single" w:sz="6" w:space="0" w:color="D6C9A8"/>
              <w:insideH w:val="single" w:sz="6" w:space="0" w:color="D6C9A8"/>
              <w:insideV w:val="single" w:sz="6" w:space="0" w:color="D6C9A8"/>
            </w:tcBorders>
          </w:tcPr>
          <w:p>
            <w:pPr>
              <w:spacing w:after="0" w:line="254" w:lineRule="auto"/>
            </w:pPr>
            <w:r/>
            <w:r>
              <w:rPr>
                <w:rFonts w:ascii="Times New Roman" w:hAnsi="Times New Roman" w:eastAsia="Times New Roman"/>
                <w:b/>
                <w:i w:val="0"/>
                <w:color w:val="7F6000"/>
                <w:sz w:val="18"/>
              </w:rPr>
              <w:t>SIMULATED WORKED EXAMPLE - NOT OBSERVED TEST DATA. You previously confirmed the phone sessions had not yet been run. All participant profiles, assumed session details, outcome counts, times, errors, SUS scores, and observations below are illustrative only. Replace them with actual evidence before submission. The scenario date is not a verified test date. Keep unknown information as [enter].</w:t>
            </w:r>
          </w:p>
        </w:tc>
      </w:tr>
    </w:tbl>
    <w:p>
      <w:pPr>
        <w:spacing w:after="20"/>
      </w:pPr>
    </w:p>
    <w:p>
      <w:pPr>
        <w:spacing w:after="100" w:line="259" w:lineRule="auto"/>
      </w:pPr>
      <w:r>
        <w:rPr>
          <w:rFonts w:ascii="Times New Roman" w:hAnsi="Times New Roman" w:eastAsia="Times New Roman"/>
          <w:b w:val="0"/>
          <w:i w:val="0"/>
          <w:color w:val="000000"/>
          <w:sz w:val="19"/>
        </w:rPr>
        <w:t>This replacement section uses the updated eight-task list and allocates two tasks to each member. It provides the plan, execution protocol, and a complete example of how to report results. The figures are not findings from the working app and must not be presented as collected results.</w:t>
      </w:r>
    </w:p>
    <w:p>
      <w:pPr>
        <w:keepNext/>
        <w:spacing w:before="160" w:after="60"/>
      </w:pPr>
      <w:r>
        <w:rPr>
          <w:rFonts w:ascii="Times New Roman" w:hAnsi="Times New Roman" w:eastAsia="Times New Roman"/>
          <w:b/>
          <w:i w:val="0"/>
          <w:color w:val="000000"/>
          <w:sz w:val="24"/>
        </w:rPr>
        <w:t>8.1 Usability Testing Plan</w:t>
      </w:r>
    </w:p>
    <w:p>
      <w:pPr>
        <w:keepNext/>
        <w:spacing w:before="100" w:after="60"/>
      </w:pPr>
      <w:r>
        <w:rPr>
          <w:rFonts w:ascii="Times New Roman" w:hAnsi="Times New Roman" w:eastAsia="Times New Roman"/>
          <w:b/>
          <w:i w:val="0"/>
          <w:color w:val="000000"/>
          <w:sz w:val="21"/>
        </w:rPr>
        <w:t>Objectives and scope</w:t>
      </w:r>
    </w:p>
    <w:p>
      <w:pPr>
        <w:spacing w:after="80" w:line="259" w:lineRule="auto"/>
      </w:pPr>
      <w:r>
        <w:rPr>
          <w:rFonts w:ascii="Times New Roman" w:hAnsi="Times New Roman" w:eastAsia="Times New Roman"/>
          <w:b w:val="0"/>
          <w:i w:val="0"/>
          <w:color w:val="000000"/>
          <w:sz w:val="19"/>
        </w:rPr>
        <w:t>The study is intended to assess whether students, tutors, and authorized reviewers can find the right feature, understand the app’s feedback, and complete representative tasks on a physical mobile phone. It covers the four assigned member scopes evenly: M1 Booking, Scheduling &amp; Payment; M2 Academic Management &amp; Tutor Discovery; M3 Learning Management, Assessments &amp; Administration; and M4 User Management &amp; Platform Services.</w:t>
      </w:r>
    </w:p>
    <w:p>
      <w:pPr>
        <w:spacing w:after="80" w:line="259" w:lineRule="auto"/>
      </w:pPr>
      <w:r>
        <w:rPr>
          <w:rFonts w:ascii="Times New Roman" w:hAnsi="Times New Roman" w:eastAsia="Times New Roman"/>
          <w:b w:val="0"/>
          <w:i w:val="0"/>
          <w:color w:val="000000"/>
          <w:sz w:val="19"/>
        </w:rPr>
        <w:t>Each member receives two tasks. With five participants completing all tasks, that is ten participant-task attempts per member (25% of the planned 40 attempts). This balances usability-test volume by member; it does not mean that every individual requirement in each broad scope is exercised by these eight scenarios.</w:t>
      </w:r>
    </w:p>
    <w:p>
      <w:pPr>
        <w:keepNext/>
        <w:spacing w:before="100" w:after="60"/>
      </w:pPr>
      <w:r>
        <w:rPr>
          <w:rFonts w:ascii="Times New Roman" w:hAnsi="Times New Roman" w:eastAsia="Times New Roman"/>
          <w:b/>
          <w:i w:val="0"/>
          <w:color w:val="000000"/>
          <w:sz w:val="21"/>
        </w:rPr>
        <w:t>Relationship to earlier prototype testing</w:t>
      </w:r>
    </w:p>
    <w:p>
      <w:pPr>
        <w:spacing w:after="80" w:line="259" w:lineRule="auto"/>
      </w:pPr>
      <w:r>
        <w:rPr>
          <w:rFonts w:ascii="Times New Roman" w:hAnsi="Times New Roman" w:eastAsia="Times New Roman"/>
          <w:b w:val="0"/>
          <w:i w:val="0"/>
          <w:color w:val="000000"/>
          <w:sz w:val="19"/>
        </w:rPr>
        <w:t>The earlier submitted report records five mobile Figma sessions (P01-P05), supported by participant videos, with three university students, one tutor/proxy, and one student/tutor proxy. Its issue log contains nine observations (eight medium and one low) about availability labels, booking navigation, group-payment clarity, conflict messages, fee display, OTP guidance, confirmations, attendance instructions, and booking-history statuses. These are prototype findings; keep them separate from any working-app results and use them only as prompts for re-testing.</w:t>
      </w:r>
    </w:p>
    <w:p>
      <w:pPr>
        <w:keepNext/>
        <w:spacing w:before="100" w:after="60"/>
      </w:pPr>
      <w:r>
        <w:rPr>
          <w:rFonts w:ascii="Times New Roman" w:hAnsi="Times New Roman" w:eastAsia="Times New Roman"/>
          <w:b/>
          <w:i w:val="0"/>
          <w:color w:val="000000"/>
          <w:sz w:val="21"/>
        </w:rPr>
        <w:t>Balanced member allocation</w:t>
      </w:r>
    </w:p>
    <w:tbl>
      <w:tblPr>
        <w:tblW w:type="auto" w:w="0"/>
        <w:jc w:val="center"/>
        <w:tblLayout w:type="fixed"/>
        <w:tblLook w:firstColumn="1" w:firstRow="1" w:lastColumn="0" w:lastRow="0" w:noHBand="0" w:noVBand="1" w:val="04A0"/>
      </w:tblPr>
      <w:tblGrid>
        <w:gridCol w:w="2016"/>
        <w:gridCol w:w="3528"/>
        <w:gridCol w:w="1080"/>
        <w:gridCol w:w="2448"/>
      </w:tblGrid>
      <w:tr>
        <w:trPr>
          <w:tblHeader w:val="true"/>
        </w:trPr>
        <w:tc>
          <w:tcPr>
            <w:tcW w:type="dxa" w:w="201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Member</w:t>
            </w:r>
          </w:p>
        </w:tc>
        <w:tc>
          <w:tcPr>
            <w:tcW w:type="dxa" w:w="35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Assigned scope</w:t>
            </w:r>
          </w:p>
        </w:tc>
        <w:tc>
          <w:tcPr>
            <w:tcW w:type="dxa" w:w="10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Tasks</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Share</w:t>
            </w:r>
          </w:p>
        </w:tc>
      </w:tr>
      <w:tr>
        <w:tc>
          <w:tcPr>
            <w:tcW w:type="dxa" w:w="201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M1 | IT23730724</w:t>
              <w:br/>
              <w:t>V. D. Wijesiri</w:t>
            </w:r>
          </w:p>
        </w:tc>
        <w:tc>
          <w:tcPr>
            <w:tcW w:type="dxa" w:w="35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Booking, Scheduling &amp; Payment</w:t>
            </w:r>
          </w:p>
        </w:tc>
        <w:tc>
          <w:tcPr>
            <w:tcW w:type="dxa" w:w="10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T1, T2</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2 tasks; 10 attempts (25%)</w:t>
            </w:r>
          </w:p>
        </w:tc>
      </w:tr>
      <w:tr>
        <w:tc>
          <w:tcPr>
            <w:tcW w:type="dxa" w:w="201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M2 | IT23721128</w:t>
              <w:br/>
              <w:t>W. K. Nethmi</w:t>
            </w:r>
          </w:p>
        </w:tc>
        <w:tc>
          <w:tcPr>
            <w:tcW w:type="dxa" w:w="35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Academic Management &amp; Tutor Discovery</w:t>
            </w:r>
          </w:p>
        </w:tc>
        <w:tc>
          <w:tcPr>
            <w:tcW w:type="dxa" w:w="10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T3, T4</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2 tasks; 10 attempts (25%)</w:t>
            </w:r>
          </w:p>
        </w:tc>
      </w:tr>
      <w:tr>
        <w:tc>
          <w:tcPr>
            <w:tcW w:type="dxa" w:w="201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M3 | IT23725256</w:t>
              <w:br/>
              <w:t>R. G. C. S. Ranasinghe</w:t>
            </w:r>
          </w:p>
        </w:tc>
        <w:tc>
          <w:tcPr>
            <w:tcW w:type="dxa" w:w="35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Learning Management, Assessments &amp; Administration</w:t>
            </w:r>
          </w:p>
        </w:tc>
        <w:tc>
          <w:tcPr>
            <w:tcW w:type="dxa" w:w="10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T5, T6</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2 tasks; 10 attempts (25%)</w:t>
            </w:r>
          </w:p>
        </w:tc>
      </w:tr>
      <w:tr>
        <w:tc>
          <w:tcPr>
            <w:tcW w:type="dxa" w:w="201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M4 | IT23729384</w:t>
              <w:br/>
              <w:t>N. G. H. Rashini</w:t>
            </w:r>
          </w:p>
        </w:tc>
        <w:tc>
          <w:tcPr>
            <w:tcW w:type="dxa" w:w="35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User Management &amp; Platform Services</w:t>
            </w:r>
          </w:p>
        </w:tc>
        <w:tc>
          <w:tcPr>
            <w:tcW w:type="dxa" w:w="10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T7, T8</w:t>
            </w:r>
          </w:p>
        </w:tc>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2 tasks; 10 attempts (25%)</w:t>
            </w:r>
          </w:p>
        </w:tc>
      </w:tr>
    </w:tbl>
    <w:p>
      <w:pPr>
        <w:spacing w:after="20"/>
      </w:pPr>
    </w:p>
    <w:p>
      <w:pPr>
        <w:keepNext/>
        <w:spacing w:before="100" w:after="60"/>
      </w:pPr>
      <w:r>
        <w:rPr>
          <w:rFonts w:ascii="Times New Roman" w:hAnsi="Times New Roman" w:eastAsia="Times New Roman"/>
          <w:b/>
          <w:i w:val="0"/>
          <w:color w:val="000000"/>
          <w:sz w:val="21"/>
        </w:rPr>
        <w:t>Participant profile and device setup</w:t>
      </w:r>
    </w:p>
    <w:p>
      <w:pPr>
        <w:spacing w:after="80" w:line="259" w:lineRule="auto"/>
      </w:pPr>
      <w:r>
        <w:rPr>
          <w:rFonts w:ascii="Times New Roman" w:hAnsi="Times New Roman" w:eastAsia="Times New Roman"/>
          <w:b w:val="0"/>
          <w:i w:val="0"/>
          <w:color w:val="000000"/>
          <w:sz w:val="19"/>
        </w:rPr>
        <w:t>Recruit at least five real target or proxy participants for the actual study. The table below is an illustrative cohort only. The device platform below uses the user-provided operating-system description; fill the exact handset model, app build, and backend from real test notes.</w:t>
      </w:r>
    </w:p>
    <w:tbl>
      <w:tblPr>
        <w:tblW w:type="auto" w:w="0"/>
        <w:jc w:val="center"/>
        <w:tblLayout w:type="fixed"/>
        <w:tblLook w:firstColumn="1" w:firstRow="1" w:lastColumn="0" w:lastRow="0" w:noHBand="0" w:noVBand="1" w:val="04A0"/>
      </w:tblPr>
      <w:tblGrid>
        <w:gridCol w:w="1080"/>
        <w:gridCol w:w="2232"/>
        <w:gridCol w:w="3240"/>
        <w:gridCol w:w="2520"/>
      </w:tblGrid>
      <w:tr>
        <w:trPr>
          <w:tblHeader w:val="true"/>
        </w:trPr>
        <w:tc>
          <w:tcPr>
            <w:tcW w:type="dxa" w:w="10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Example ID</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Role and tech comfort</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Device</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Mode and duration</w:t>
            </w:r>
          </w:p>
        </w:tc>
      </w:tr>
      <w:tr>
        <w:tc>
          <w:tcPr>
            <w:tcW w:type="dxa" w:w="10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SIM-P01</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University student; moderate tech comfort</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Physical Android phone; MyOS 16 / Android 16 base; model [enter]</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In person, moderated; 39 min (example)</w:t>
            </w:r>
          </w:p>
        </w:tc>
      </w:tr>
      <w:tr>
        <w:tc>
          <w:tcPr>
            <w:tcW w:type="dxa" w:w="10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SIM-P02</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University student; high tech comfort</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Physical Android phone; MyOS 16 / Android 16 base; model [enter]</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In person, moderated; 43 min (example)</w:t>
            </w:r>
          </w:p>
        </w:tc>
      </w:tr>
      <w:tr>
        <w:tc>
          <w:tcPr>
            <w:tcW w:type="dxa" w:w="10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SIM-P03</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University student; low tech comfort</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Physical Android phone; MyOS 16 / Android 16 base; model [enter]</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In person, moderated; 46 min (example)</w:t>
            </w:r>
          </w:p>
        </w:tc>
      </w:tr>
      <w:tr>
        <w:tc>
          <w:tcPr>
            <w:tcW w:type="dxa" w:w="10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SIM-P04</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Tutor; high tech comfort</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Physical Android phone; MyOS 16 / Android 16 base; model [enter]</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In person, moderated; 41 min (example)</w:t>
            </w:r>
          </w:p>
        </w:tc>
      </w:tr>
      <w:tr>
        <w:tc>
          <w:tcPr>
            <w:tcW w:type="dxa" w:w="10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SIM-P05</w:t>
            </w:r>
          </w:p>
        </w:tc>
        <w:tc>
          <w:tcPr>
            <w:tcW w:type="dxa" w:w="223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Proxy authorized reviewer; moderate tech comfort</w:t>
            </w:r>
          </w:p>
        </w:tc>
        <w:tc>
          <w:tcPr>
            <w:tcW w:type="dxa" w:w="32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Physical Android phone; MyOS 16 / Android 16 base; model [enter]</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In person, moderated; 45 min (example)</w:t>
            </w:r>
          </w:p>
        </w:tc>
      </w:tr>
    </w:tbl>
    <w:p>
      <w:pPr>
        <w:spacing w:after="20"/>
      </w:pPr>
    </w:p>
    <w:p>
      <w:pPr>
        <w:spacing w:after="80" w:line="259" w:lineRule="auto"/>
      </w:pPr>
      <w:r>
        <w:rPr>
          <w:rFonts w:ascii="Times New Roman" w:hAnsi="Times New Roman" w:eastAsia="Times New Roman"/>
          <w:b w:val="0"/>
          <w:i w:val="0"/>
          <w:color w:val="000000"/>
          <w:sz w:val="18"/>
        </w:rPr>
        <w:t>Scenario date: 9 October 2026 (simulated example date). App version/build: [enter]. Backend/test environment: [enter]. Sandbox payment environment and authorization instructions: [enter, or mark not available]. Example session duration averages 42.8 minutes; replace with actual records.</w:t>
      </w:r>
    </w:p>
    <w:p>
      <w:pPr>
        <w:keepNext/>
        <w:spacing w:before="100" w:after="60"/>
      </w:pPr>
      <w:r>
        <w:rPr>
          <w:rFonts w:ascii="Times New Roman" w:hAnsi="Times New Roman" w:eastAsia="Times New Roman"/>
          <w:b/>
          <w:i w:val="0"/>
          <w:color w:val="000000"/>
          <w:sz w:val="21"/>
        </w:rPr>
        <w:t>Test preparation and safety</w:t>
      </w:r>
    </w:p>
    <w:p>
      <w:pPr>
        <w:spacing w:after="80" w:line="259" w:lineRule="auto"/>
      </w:pPr>
      <w:r>
        <w:rPr>
          <w:rFonts w:ascii="Times New Roman" w:hAnsi="Times New Roman" w:eastAsia="Times New Roman"/>
          <w:b w:val="0"/>
          <w:i w:val="0"/>
          <w:color w:val="000000"/>
          <w:sz w:val="19"/>
        </w:rPr>
        <w:t>Prepare a student test account, a tutor test account, an authorized reviewer account, two test tutor profiles, a disposable review, a future unbooked tutor slot, an available booking slot, a sample goal and resource, a published practice assessment with a synthetic submission, and a pending tutor application with mock evidence. Prepare only data needed for the tasks and remove disposable records after testing where the app permits.</w:t>
      </w:r>
    </w:p>
    <w:p>
      <w:pPr>
        <w:spacing w:after="80" w:line="259" w:lineRule="auto"/>
      </w:pPr>
      <w:r>
        <w:rPr>
          <w:rFonts w:ascii="Times New Roman" w:hAnsi="Times New Roman" w:eastAsia="Times New Roman"/>
          <w:b w:val="0"/>
          <w:i w:val="0"/>
          <w:color w:val="000000"/>
          <w:sz w:val="19"/>
        </w:rPr>
        <w:t>Payment testing is permitted only through an approved sandbox with test credentials. Never use live funds, real payment credentials, a real OTP, a real identity document, or a live/graded assessment. If the sandbox or a required test fixture is not available, stop before the risky action and record the affected step as unavailable.</w:t>
      </w:r>
    </w:p>
    <w:p>
      <w:pPr>
        <w:keepNext/>
        <w:spacing w:before="100" w:after="60"/>
      </w:pPr>
      <w:r>
        <w:rPr>
          <w:rFonts w:ascii="Times New Roman" w:hAnsi="Times New Roman" w:eastAsia="Times New Roman"/>
          <w:b/>
          <w:i w:val="0"/>
          <w:color w:val="000000"/>
          <w:sz w:val="21"/>
        </w:rPr>
        <w:t>Task scenarios</w:t>
      </w:r>
    </w:p>
    <w:p>
      <w:pPr>
        <w:spacing w:after="80" w:line="259" w:lineRule="auto"/>
      </w:pPr>
      <w:r>
        <w:rPr>
          <w:rFonts w:ascii="Times New Roman" w:hAnsi="Times New Roman" w:eastAsia="Times New Roman"/>
          <w:b w:val="0"/>
          <w:i w:val="0"/>
          <w:color w:val="000000"/>
          <w:sz w:val="19"/>
        </w:rPr>
        <w:t>Read the goal to the participant and keep the success check for the observer. The goals and success checks below are carried over from the updated task list.</w:t>
      </w:r>
    </w:p>
    <w:tbl>
      <w:tblPr>
        <w:tblW w:type="auto" w:w="0"/>
        <w:jc w:val="center"/>
        <w:tblLayout w:type="fixed"/>
        <w:tblLook w:firstColumn="1" w:firstRow="1" w:lastColumn="0" w:lastRow="0" w:noHBand="0" w:noVBand="1" w:val="04A0"/>
      </w:tblPr>
      <w:tblGrid>
        <w:gridCol w:w="2808"/>
        <w:gridCol w:w="6264"/>
      </w:tblGrid>
      <w:tr>
        <w:trPr>
          <w:tblHeader w:val="true"/>
        </w:trPr>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6"/>
              </w:rPr>
              <w:t>Task and member scope</w:t>
            </w:r>
          </w:p>
        </w:tc>
        <w:tc>
          <w:tcPr>
            <w:tcW w:type="dxa" w:w="626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6"/>
              </w:rPr>
              <w:t>Participant goal, success check and preparation</w:t>
            </w:r>
          </w:p>
        </w:tc>
      </w:tr>
      <w:tr>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i w:val="0"/>
                <w:color w:val="000000"/>
                <w:sz w:val="16"/>
              </w:rPr>
              <w:t>T1 | M1 availability and slot management</w:t>
              <w:br/>
              <w:t>IT23730724 | V. D. Wijesiri</w:t>
              <w:br/>
              <w:t>Create / Read / Update / Delete Availability Slots</w:t>
            </w:r>
          </w:p>
        </w:tc>
        <w:tc>
          <w:tcPr>
            <w:tcW w:type="dxa" w:w="6263"/>
            <w:vAlign w:val="center"/>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As a tutor, create a future unbooked availability slot for [test module/topic], check it in your schedule, change its time or fee, and remove the disposable slot when you finish.</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slot appears after creation; the changed value remains after leaving and reopening the schedule; and the deleted test slot no longer appears.</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a tutor test account and future date. Do not edit/delete another user’s or a booked slot. Remove only the test slot created for this task.</w:t>
            </w:r>
          </w:p>
        </w:tc>
      </w:tr>
      <w:tr>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i w:val="0"/>
                <w:color w:val="000000"/>
                <w:sz w:val="16"/>
              </w:rPr>
              <w:t>T2 | M1 booking, payment authorization and receipt</w:t>
              <w:br/>
              <w:t>IT23730724 | V. D. Wijesiri</w:t>
              <w:br/>
              <w:t>Booking / OTP / escrow status / receipt</w:t>
            </w:r>
          </w:p>
        </w:tc>
        <w:tc>
          <w:tcPr>
            <w:tcW w:type="dxa" w:w="6263"/>
            <w:vAlign w:val="center"/>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As a student, choose an available one-to-one session, review the tutor, topic, time and fee, complete the approved sandbox authorization/OTP step if one is presented, then find the resulting booking and receipt.</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selected booking details match the review screen. If the approved sandbox path is available, the final payment status and receipt correspond to the test transaction and the booking appears in the booking list. If no sandbox credentials are supplied, stop before payment and record the payment/OTP/receipt steps as unavailable.</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a reserved test slot and approved sandbox credentials only. Never enter real card, wallet PIN, OTP, or bank details. Cancel the test booking only if safe cancellation is supported. Do not claim escrow was verified unless the test app displays a relevant status.</w:t>
            </w:r>
          </w:p>
        </w:tc>
      </w:tr>
      <w:tr>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i w:val="0"/>
                <w:color w:val="000000"/>
                <w:sz w:val="16"/>
              </w:rPr>
              <w:t>T3 | M2 academic search and saved tutors</w:t>
              <w:br/>
              <w:t>IT23721128 | W. K. Nethmi</w:t>
              <w:br/>
              <w:t>Search / filters / profile comparison / saved tutor CRUD</w:t>
            </w:r>
          </w:p>
        </w:tc>
        <w:tc>
          <w:tcPr>
            <w:tcW w:type="dxa" w:w="6263"/>
            <w:vAlign w:val="center"/>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Find tutors for [test module, for example Data Structures], use the available filters, compare two tutor profiles, save the tutor you would consider contacting, and then remove that tutor from your saved list.</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search shows a relevant test profile; the participant can inspect and compare visible details; the chosen tutor appears in the saved list after leaving and returning; and the entry disappears after removal.</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Provide two visible test tutor profiles when available. If fewer than two are returned, record the limitation and complete the search/save/remove portions. Remove only the test shortlist entry.</w:t>
            </w:r>
          </w:p>
        </w:tc>
      </w:tr>
      <w:tr>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i w:val="0"/>
                <w:color w:val="000000"/>
                <w:sz w:val="16"/>
              </w:rPr>
              <w:t>T4 | M2 tutor reviews and ratings</w:t>
              <w:br/>
              <w:t>IT23721128 | W. K. Nethmi</w:t>
              <w:br/>
              <w:t>Create / Read / Update / Delete Reviews and Ratings</w:t>
            </w:r>
          </w:p>
        </w:tc>
        <w:tc>
          <w:tcPr>
            <w:tcW w:type="dxa" w:w="6263"/>
            <w:vAlign w:val="center"/>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Using the student test account, leave a short rating and review for the designated test tutor, reopen it to change one detail, and delete the test review when finished.</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review appears once under the correct test account; the edited rating or comment remains after reopening; and the participant can remove their own test review so it no longer appears.</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a designated tutor and eligible student test account. If the app requires a completed booking, prepare a test booking or record the task unavailable. Do not edit another participant’s review.</w:t>
            </w:r>
          </w:p>
        </w:tc>
      </w:tr>
      <w:tr>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i w:val="0"/>
                <w:color w:val="000000"/>
                <w:sz w:val="16"/>
              </w:rPr>
              <w:t>T5 | M3 learning goals, study resources and progress report</w:t>
              <w:br/>
              <w:t>IT23725256 | R. G. C. S. Ranasinghe</w:t>
              <w:br/>
              <w:t>Learning dashboard / goals / materials / reports</w:t>
            </w:r>
          </w:p>
        </w:tc>
        <w:tc>
          <w:tcPr>
            <w:tcW w:type="dxa" w:w="6263"/>
            <w:vAlign w:val="center"/>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From the learning area, find the designated test goal for [module], log progress on it, open a related sample study resource, and return to the goal or analytics view to check the updated progress.</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resource opens; the progress action is acknowledged; and the changed progress or report value is visible after returning to the learning area. If the tested build provides a create/edit/remove action for a disposable goal or resource, use it only on the test record and verify its state after reopening.</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a student test account, a sample resource, and a disposable goal. Record which create/update/delete actions are available; do not assume every record supports all CRUD operations.</w:t>
            </w:r>
          </w:p>
        </w:tc>
      </w:tr>
      <w:tr>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i w:val="0"/>
                <w:color w:val="000000"/>
                <w:sz w:val="16"/>
              </w:rPr>
              <w:t>T6 | M3 practice assessment and moderation</w:t>
              <w:br/>
              <w:t>IT23725256 | R. G. C. S. Ranasinghe</w:t>
              <w:br/>
              <w:t>Assessments / academic integrity / administration</w:t>
            </w:r>
          </w:p>
        </w:tc>
        <w:tc>
          <w:tcPr>
            <w:tcW w:type="dxa" w:w="6263"/>
            <w:vAlign w:val="center"/>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Complete one designated practice assessment, view its result, then use the authorized tutor/reviewer test account to inspect the matching synthetic submission and record the available feedback or moderation decision.</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practice result belongs to the test attempt; the reviewer opens the corresponding synthetic submission; and the saved feedback/status is visible when the review queue or record is reopened.</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only a published practice paper and synthetic submission. Do not open, grade, or change a live or graded assessment. If moderation is absent in the tested build, record that part as unavailable.</w:t>
            </w:r>
          </w:p>
        </w:tc>
      </w:tr>
      <w:tr>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i w:val="0"/>
                <w:color w:val="000000"/>
                <w:sz w:val="16"/>
              </w:rPr>
              <w:t>T7 | M4 registration, role access and profile</w:t>
              <w:br/>
              <w:t>IT23729384 | N. G. H. Rashini</w:t>
              <w:br/>
              <w:t>Account / verification / role login / profile</w:t>
            </w:r>
          </w:p>
        </w:tc>
        <w:tc>
          <w:tcPr>
            <w:tcW w:type="dxa" w:w="6263"/>
            <w:vAlign w:val="center"/>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Using the designated test details, register or sign in to the assigned student/tutor test role, check the account or verification status, update one permitted profile field, and reopen the profile.</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participant reaches the correct role-specific area; the status shown belongs to the test account; and the changed profile field remains after navigating away and returning.</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a test email/account and synthetic information. If verification needs a code, use the designated test channel. Never upload real identity or transcript evidence. Restore the test profile value after the session.</w:t>
            </w:r>
          </w:p>
        </w:tc>
      </w:tr>
      <w:tr>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i w:val="0"/>
                <w:color w:val="000000"/>
                <w:sz w:val="16"/>
              </w:rPr>
              <w:t>T8 | M4 tutor evidence review and account status</w:t>
              <w:br/>
              <w:t>IT23729384 | N. G. H. Rashini</w:t>
              <w:br/>
              <w:t>Tutor credentials / evidence / account review</w:t>
            </w:r>
          </w:p>
        </w:tc>
        <w:tc>
          <w:tcPr>
            <w:tcW w:type="dxa" w:w="6263"/>
            <w:vAlign w:val="center"/>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50" w:line="247" w:lineRule="auto"/>
            </w:pPr>
            <w:r/>
            <w:r>
              <w:rPr>
                <w:rFonts w:ascii="Times New Roman" w:hAnsi="Times New Roman" w:eastAsia="Times New Roman"/>
                <w:b/>
                <w:i w:val="0"/>
                <w:color w:val="000000"/>
                <w:sz w:val="16"/>
              </w:rPr>
              <w:t xml:space="preserve">Goal: </w:t>
            </w:r>
            <w:r>
              <w:rPr>
                <w:rFonts w:ascii="Times New Roman" w:hAnsi="Times New Roman" w:eastAsia="Times New Roman"/>
                <w:b w:val="0"/>
                <w:i w:val="0"/>
                <w:color w:val="000000"/>
                <w:sz w:val="16"/>
              </w:rPr>
              <w:t>As an authorized reviewer, open the designated synthetic tutor application, inspect its test credential evidence, approve it or request re-upload as instructed, then return to the application list and reopen the record.</w:t>
            </w:r>
          </w:p>
          <w:p>
            <w:pPr>
              <w:spacing w:after="50" w:line="247" w:lineRule="auto"/>
            </w:pPr>
            <w:r>
              <w:rPr>
                <w:rFonts w:ascii="Times New Roman" w:hAnsi="Times New Roman" w:eastAsia="Times New Roman"/>
                <w:b/>
                <w:i w:val="0"/>
                <w:color w:val="000000"/>
                <w:sz w:val="16"/>
              </w:rPr>
              <w:t xml:space="preserve">Success check: </w:t>
            </w:r>
            <w:r>
              <w:rPr>
                <w:rFonts w:ascii="Times New Roman" w:hAnsi="Times New Roman" w:eastAsia="Times New Roman"/>
                <w:b w:val="0"/>
                <w:i w:val="0"/>
                <w:color w:val="000000"/>
                <w:sz w:val="16"/>
              </w:rPr>
              <w:t>The reviewer can inspect the synthetic record, the selected review action is acknowledged, and the updated status remains visible after reopening. No real user account or evidence is changed.</w:t>
            </w:r>
          </w:p>
          <w:p>
            <w:pPr>
              <w:spacing w:after="50" w:line="247" w:lineRule="auto"/>
            </w:pPr>
            <w:r>
              <w:rPr>
                <w:rFonts w:ascii="Times New Roman" w:hAnsi="Times New Roman" w:eastAsia="Times New Roman"/>
                <w:b/>
                <w:i w:val="0"/>
                <w:color w:val="000000"/>
                <w:sz w:val="16"/>
              </w:rPr>
              <w:t xml:space="preserve">Preparation: </w:t>
            </w:r>
            <w:r>
              <w:rPr>
                <w:rFonts w:ascii="Times New Roman" w:hAnsi="Times New Roman" w:eastAsia="Times New Roman"/>
                <w:b w:val="0"/>
                <w:i w:val="0"/>
                <w:color w:val="000000"/>
                <w:sz w:val="16"/>
              </w:rPr>
              <w:t>Use an authorized reviewer account and a pending synthetic tutor application with mock evidence. If none exists, mark the task unavailable; do not act on a real user’s application.</w:t>
            </w:r>
          </w:p>
        </w:tc>
      </w:tr>
    </w:tbl>
    <w:p>
      <w:pPr>
        <w:spacing w:after="20"/>
      </w:pPr>
    </w:p>
    <w:p>
      <w:pPr>
        <w:keepNext/>
        <w:spacing w:before="160" w:after="60"/>
      </w:pPr>
      <w:r>
        <w:rPr>
          <w:rFonts w:ascii="Times New Roman" w:hAnsi="Times New Roman" w:eastAsia="Times New Roman"/>
          <w:b/>
          <w:i w:val="0"/>
          <w:color w:val="000000"/>
          <w:sz w:val="24"/>
        </w:rPr>
        <w:t>8.2 Usability Testing Execution</w:t>
      </w:r>
    </w:p>
    <w:p>
      <w:pPr>
        <w:keepNext/>
        <w:spacing w:before="100" w:after="60"/>
      </w:pPr>
      <w:r>
        <w:rPr>
          <w:rFonts w:ascii="Times New Roman" w:hAnsi="Times New Roman" w:eastAsia="Times New Roman"/>
          <w:b/>
          <w:i w:val="0"/>
          <w:color w:val="000000"/>
          <w:sz w:val="21"/>
        </w:rPr>
        <w:t>Protocol</w:t>
      </w:r>
    </w:p>
    <w:p>
      <w:pPr>
        <w:spacing w:after="60" w:line="254" w:lineRule="auto"/>
        <w:ind w:left="173" w:hanging="173"/>
      </w:pPr>
      <w:r>
        <w:rPr>
          <w:rFonts w:ascii="Times New Roman" w:hAnsi="Times New Roman" w:eastAsia="Times New Roman"/>
          <w:b/>
          <w:i w:val="0"/>
          <w:color w:val="000000"/>
          <w:sz w:val="19"/>
        </w:rPr>
        <w:t xml:space="preserve">1. Welcome and consent. </w:t>
      </w:r>
      <w:r>
        <w:rPr>
          <w:rFonts w:ascii="Times New Roman" w:hAnsi="Times New Roman" w:eastAsia="Times New Roman"/>
          <w:b w:val="0"/>
          <w:i w:val="0"/>
          <w:color w:val="000000"/>
          <w:sz w:val="19"/>
        </w:rPr>
        <w:t>Explain the purpose and obtain consent before recording. Tell participants the app is being evaluated, not them. Assign an anonymous participant ID.</w:t>
      </w:r>
    </w:p>
    <w:p>
      <w:pPr>
        <w:spacing w:after="60" w:line="254" w:lineRule="auto"/>
        <w:ind w:left="173" w:hanging="173"/>
      </w:pPr>
      <w:r>
        <w:rPr>
          <w:rFonts w:ascii="Times New Roman" w:hAnsi="Times New Roman" w:eastAsia="Times New Roman"/>
          <w:b/>
          <w:i w:val="0"/>
          <w:color w:val="000000"/>
          <w:sz w:val="19"/>
        </w:rPr>
        <w:t xml:space="preserve">2. Set up the phone. </w:t>
      </w:r>
      <w:r>
        <w:rPr>
          <w:rFonts w:ascii="Times New Roman" w:hAnsi="Times New Roman" w:eastAsia="Times New Roman"/>
          <w:b w:val="0"/>
          <w:i w:val="0"/>
          <w:color w:val="000000"/>
          <w:sz w:val="19"/>
        </w:rPr>
        <w:t>Open the working mobile app on the physical device. Record handset model [enter], MyOS 16 / Android 16 base, app version/build [enter], environment [enter], date, and test accounts used.</w:t>
      </w:r>
    </w:p>
    <w:p>
      <w:pPr>
        <w:spacing w:after="60" w:line="254" w:lineRule="auto"/>
        <w:ind w:left="173" w:hanging="173"/>
      </w:pPr>
      <w:r>
        <w:rPr>
          <w:rFonts w:ascii="Times New Roman" w:hAnsi="Times New Roman" w:eastAsia="Times New Roman"/>
          <w:b/>
          <w:i w:val="0"/>
          <w:color w:val="000000"/>
          <w:sz w:val="19"/>
        </w:rPr>
        <w:t xml:space="preserve">3. Use think-aloud. </w:t>
      </w:r>
      <w:r>
        <w:rPr>
          <w:rFonts w:ascii="Times New Roman" w:hAnsi="Times New Roman" w:eastAsia="Times New Roman"/>
          <w:b w:val="0"/>
          <w:i w:val="0"/>
          <w:color w:val="000000"/>
          <w:sz w:val="19"/>
        </w:rPr>
        <w:t>Ask the participant to say what they expect, what they notice, and where they are unsure. Read each goal as written. Give neutral prompts without pointing to controls or suggesting the next step.</w:t>
      </w:r>
    </w:p>
    <w:p>
      <w:pPr>
        <w:spacing w:after="60" w:line="254" w:lineRule="auto"/>
        <w:ind w:left="173" w:hanging="173"/>
      </w:pPr>
      <w:r>
        <w:rPr>
          <w:rFonts w:ascii="Times New Roman" w:hAnsi="Times New Roman" w:eastAsia="Times New Roman"/>
          <w:b/>
          <w:i w:val="0"/>
          <w:color w:val="000000"/>
          <w:sz w:val="19"/>
        </w:rPr>
        <w:t xml:space="preserve">4. Observe without leading. </w:t>
      </w:r>
      <w:r>
        <w:rPr>
          <w:rFonts w:ascii="Times New Roman" w:hAnsi="Times New Roman" w:eastAsia="Times New Roman"/>
          <w:b w:val="0"/>
          <w:i w:val="0"/>
          <w:color w:val="000000"/>
          <w:sz w:val="19"/>
        </w:rPr>
        <w:t>A moderator reads tasks and avoids assistance unless needed for participant safety. A note-taker records start/end time, outcome, help, wrong taps, invalid submissions, backtracks, and concise anonymized observations.</w:t>
      </w:r>
    </w:p>
    <w:p>
      <w:pPr>
        <w:spacing w:after="60" w:line="254" w:lineRule="auto"/>
        <w:ind w:left="173" w:hanging="173"/>
      </w:pPr>
      <w:r>
        <w:rPr>
          <w:rFonts w:ascii="Times New Roman" w:hAnsi="Times New Roman" w:eastAsia="Times New Roman"/>
          <w:b/>
          <w:i w:val="0"/>
          <w:color w:val="000000"/>
          <w:sz w:val="19"/>
        </w:rPr>
        <w:t xml:space="preserve">5. Enforce test boundaries. </w:t>
      </w:r>
      <w:r>
        <w:rPr>
          <w:rFonts w:ascii="Times New Roman" w:hAnsi="Times New Roman" w:eastAsia="Times New Roman"/>
          <w:b w:val="0"/>
          <w:i w:val="0"/>
          <w:color w:val="000000"/>
          <w:sz w:val="19"/>
        </w:rPr>
        <w:t>Use disposable/synthetic data. T2 may proceed beyond the payment review only through a documented sandbox. T6 uses a practice paper and synthetic submission. T8 uses mock tutor evidence and an authorized reviewer account.</w:t>
      </w:r>
    </w:p>
    <w:p>
      <w:pPr>
        <w:spacing w:after="60" w:line="254" w:lineRule="auto"/>
        <w:ind w:left="173" w:hanging="173"/>
      </w:pPr>
      <w:r>
        <w:rPr>
          <w:rFonts w:ascii="Times New Roman" w:hAnsi="Times New Roman" w:eastAsia="Times New Roman"/>
          <w:b/>
          <w:i w:val="0"/>
          <w:color w:val="000000"/>
          <w:sz w:val="19"/>
        </w:rPr>
        <w:t xml:space="preserve">6. Collect SUS. </w:t>
      </w:r>
      <w:r>
        <w:rPr>
          <w:rFonts w:ascii="Times New Roman" w:hAnsi="Times New Roman" w:eastAsia="Times New Roman"/>
          <w:b w:val="0"/>
          <w:i w:val="0"/>
          <w:color w:val="000000"/>
          <w:sz w:val="19"/>
        </w:rPr>
        <w:t>After the tasks, offer the standard 10-item System Usability Scale questionnaire. Keep the participant’s answers anonymous and retain completed forms and the scoring worksheet for the appendix.</w:t>
      </w:r>
    </w:p>
    <w:p>
      <w:pPr>
        <w:keepNext/>
        <w:spacing w:before="100" w:after="60"/>
      </w:pPr>
      <w:r>
        <w:rPr>
          <w:rFonts w:ascii="Times New Roman" w:hAnsi="Times New Roman" w:eastAsia="Times New Roman"/>
          <w:b/>
          <w:i w:val="0"/>
          <w:color w:val="000000"/>
          <w:sz w:val="21"/>
        </w:rPr>
        <w:t>Measures and scoring rules</w:t>
      </w:r>
    </w:p>
    <w:tbl>
      <w:tblPr>
        <w:tblW w:type="auto" w:w="0"/>
        <w:jc w:val="center"/>
        <w:tblLayout w:type="fixed"/>
        <w:tblLook w:firstColumn="1" w:firstRow="1" w:lastColumn="0" w:lastRow="0" w:noHBand="0" w:noVBand="1" w:val="04A0"/>
      </w:tblPr>
      <w:tblGrid>
        <w:gridCol w:w="1656"/>
        <w:gridCol w:w="7416"/>
      </w:tblGrid>
      <w:tr>
        <w:trPr>
          <w:tblHeader w:val="true"/>
        </w:trPr>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6"/>
              </w:rPr>
              <w:t>Measure</w:t>
            </w:r>
          </w:p>
        </w:tc>
        <w:tc>
          <w:tcPr>
            <w:tcW w:type="dxa" w:w="74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6"/>
              </w:rPr>
              <w:t>Definition</w:t>
            </w:r>
          </w:p>
        </w:tc>
      </w:tr>
      <w:tr>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Task outcome</w:t>
            </w:r>
          </w:p>
        </w:tc>
        <w:tc>
          <w:tcPr>
            <w:tcW w:type="dxa" w:w="74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Independent = complete without help; assisted = complete after a neutral prompt; incomplete = not finished; unavailable = required feature or safe fixture absent.</w:t>
            </w:r>
          </w:p>
        </w:tc>
      </w:tr>
      <w:tr>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Completion rate</w:t>
            </w:r>
          </w:p>
        </w:tc>
        <w:tc>
          <w:tcPr>
            <w:tcW w:type="dxa" w:w="74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(Independent + assisted) divided by attempted tasks × 100. Report independent completion separately.</w:t>
            </w:r>
          </w:p>
        </w:tc>
      </w:tr>
      <w:tr>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Time on task</w:t>
            </w:r>
          </w:p>
        </w:tc>
        <w:tc>
          <w:tcPr>
            <w:tcW w:type="dxa" w:w="74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Seconds from the task goal being read to its success check. Average completed attempts only.</w:t>
            </w:r>
          </w:p>
        </w:tc>
      </w:tr>
      <w:tr>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Errors</w:t>
            </w:r>
          </w:p>
        </w:tc>
        <w:tc>
          <w:tcPr>
            <w:tcW w:type="dxa" w:w="74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Count each wrong tap, invalid submission, or misdirected navigation once. Average errors across all attempted tasks.</w:t>
            </w:r>
          </w:p>
        </w:tc>
      </w:tr>
      <w:tr>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SUS</w:t>
            </w:r>
          </w:p>
        </w:tc>
        <w:tc>
          <w:tcPr>
            <w:tcW w:type="dxa" w:w="74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For odd items, response − 1; for even items, 5 − response. Add adjusted items and multiply by 2.5. Average complete questionnaires only.</w:t>
            </w:r>
          </w:p>
        </w:tc>
      </w:tr>
    </w:tbl>
    <w:p>
      <w:pPr>
        <w:spacing w:after="20"/>
      </w:pPr>
    </w:p>
    <w:p>
      <w:pPr>
        <w:keepNext/>
        <w:spacing w:before="100" w:after="60"/>
      </w:pPr>
      <w:r>
        <w:rPr>
          <w:rFonts w:ascii="Times New Roman" w:hAnsi="Times New Roman" w:eastAsia="Times New Roman"/>
          <w:b/>
          <w:i w:val="0"/>
          <w:color w:val="000000"/>
          <w:sz w:val="21"/>
        </w:rPr>
        <w:t>Illustrative session record</w:t>
      </w:r>
    </w:p>
    <w:p>
      <w:pPr>
        <w:spacing w:after="80" w:line="259" w:lineRule="auto"/>
      </w:pPr>
      <w:r>
        <w:rPr>
          <w:rFonts w:ascii="Times New Roman" w:hAnsi="Times New Roman" w:eastAsia="Times New Roman"/>
          <w:b w:val="0"/>
          <w:i w:val="0"/>
          <w:color w:val="000000"/>
          <w:sz w:val="18"/>
        </w:rPr>
        <w:t>The following values are scenario assumptions for formatting only, not a record of completed sessions. The example assumes five in-person moderated sessions on 9 October 2026 using a shared physical Android test phone; session lengths total an average of 42.8 minutes.</w:t>
      </w:r>
    </w:p>
    <w:tbl>
      <w:tblPr>
        <w:tblW w:type="auto" w:w="0"/>
        <w:jc w:val="center"/>
        <w:tblLayout w:type="fixed"/>
        <w:tblLook w:firstColumn="1" w:firstRow="1" w:lastColumn="0" w:lastRow="0" w:noHBand="0" w:noVBand="1" w:val="04A0"/>
      </w:tblPr>
      <w:tblGrid>
        <w:gridCol w:w="3168"/>
        <w:gridCol w:w="5904"/>
      </w:tblGrid>
      <w:tr>
        <w:trPr>
          <w:tblHeader w:val="true"/>
        </w:trPr>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7"/>
              </w:rPr>
              <w:t>Example ID</w:t>
            </w:r>
          </w:p>
        </w:tc>
        <w:tc>
          <w:tcPr>
            <w:tcW w:type="dxa" w:w="590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7"/>
              </w:rPr>
              <w:t>Scenario duration</w:t>
            </w:r>
          </w:p>
        </w:tc>
      </w:tr>
      <w:tr>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7"/>
              </w:rPr>
              <w:t>SIM-P01</w:t>
            </w:r>
          </w:p>
        </w:tc>
        <w:tc>
          <w:tcPr>
            <w:tcW w:type="dxa" w:w="590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7"/>
              </w:rPr>
              <w:t>39 min</w:t>
            </w:r>
          </w:p>
        </w:tc>
      </w:tr>
      <w:tr>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7"/>
              </w:rPr>
              <w:t>SIM-P02</w:t>
            </w:r>
          </w:p>
        </w:tc>
        <w:tc>
          <w:tcPr>
            <w:tcW w:type="dxa" w:w="590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7"/>
              </w:rPr>
              <w:t>43 min</w:t>
            </w:r>
          </w:p>
        </w:tc>
      </w:tr>
      <w:tr>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7"/>
              </w:rPr>
              <w:t>SIM-P03</w:t>
            </w:r>
          </w:p>
        </w:tc>
        <w:tc>
          <w:tcPr>
            <w:tcW w:type="dxa" w:w="590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7"/>
              </w:rPr>
              <w:t>46 min</w:t>
            </w:r>
          </w:p>
        </w:tc>
      </w:tr>
      <w:tr>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7"/>
              </w:rPr>
              <w:t>SIM-P04</w:t>
            </w:r>
          </w:p>
        </w:tc>
        <w:tc>
          <w:tcPr>
            <w:tcW w:type="dxa" w:w="590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7"/>
              </w:rPr>
              <w:t>41 min</w:t>
            </w:r>
          </w:p>
        </w:tc>
      </w:tr>
      <w:tr>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7"/>
              </w:rPr>
              <w:t>SIM-P05</w:t>
            </w:r>
          </w:p>
        </w:tc>
        <w:tc>
          <w:tcPr>
            <w:tcW w:type="dxa" w:w="5903"/>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7"/>
              </w:rPr>
              <w:t>45 min</w:t>
            </w:r>
          </w:p>
        </w:tc>
      </w:tr>
    </w:tbl>
    <w:p>
      <w:pPr>
        <w:spacing w:after="20"/>
      </w:pPr>
    </w:p>
    <w:tbl>
      <w:tblPr>
        <w:tblW w:type="auto" w:w="0"/>
        <w:jc w:val="center"/>
        <w:tblLook w:firstColumn="1" w:firstRow="1" w:lastColumn="0" w:lastRow="0" w:noHBand="0" w:noVBand="1" w:val="04A0"/>
      </w:tblPr>
      <w:tblGrid>
        <w:gridCol w:w="9547"/>
      </w:tblGrid>
      <w:tr>
        <w:tc>
          <w:tcPr>
            <w:tcW w:type="dxa" w:w="9547"/>
            <w:shd w:fill="EAF2F8"/>
            <w:tcMar>
              <w:top w:w="125" w:type="dxa"/>
              <w:start w:w="150" w:type="dxa"/>
              <w:bottom w:w="125" w:type="dxa"/>
              <w:end w:w="150" w:type="dxa"/>
            </w:tcMar>
            <w:tcBorders>
              <w:top w:val="single" w:sz="6" w:space="0" w:color="D6C9A8"/>
              <w:left w:val="single" w:sz="6" w:space="0" w:color="D6C9A8"/>
              <w:bottom w:val="single" w:sz="6" w:space="0" w:color="D6C9A8"/>
              <w:right w:val="single" w:sz="6" w:space="0" w:color="D6C9A8"/>
              <w:insideH w:val="single" w:sz="6" w:space="0" w:color="D6C9A8"/>
              <w:insideV w:val="single" w:sz="6" w:space="0" w:color="D6C9A8"/>
            </w:tcBorders>
          </w:tcPr>
          <w:p>
            <w:pPr>
              <w:spacing w:after="0" w:line="254" w:lineRule="auto"/>
            </w:pPr>
            <w:r/>
            <w:r>
              <w:rPr>
                <w:rFonts w:ascii="Times New Roman" w:hAnsi="Times New Roman" w:eastAsia="Times New Roman"/>
                <w:b/>
                <w:i w:val="0"/>
                <w:color w:val="1F1F1F"/>
                <w:sz w:val="18"/>
              </w:rPr>
              <w:t>PHONE EVIDENCE PLACEHOLDER: [Insert a consented, anonymized photo or screenshot from the physical phone here. Add evidence/appendix reference: enter. Do not substitute an Expo web preview for required physical-phone evidence.]</w:t>
            </w:r>
          </w:p>
        </w:tc>
      </w:tr>
    </w:tbl>
    <w:p>
      <w:pPr>
        <w:spacing w:after="20"/>
      </w:pPr>
    </w:p>
    <w:p>
      <w:pPr>
        <w:keepNext/>
        <w:spacing w:before="160" w:after="60"/>
      </w:pPr>
      <w:r>
        <w:rPr>
          <w:rFonts w:ascii="Times New Roman" w:hAnsi="Times New Roman" w:eastAsia="Times New Roman"/>
          <w:b/>
          <w:i w:val="0"/>
          <w:color w:val="000000"/>
          <w:sz w:val="24"/>
        </w:rPr>
        <w:t>8.3 Usability Testing Results</w:t>
      </w:r>
    </w:p>
    <w:tbl>
      <w:tblPr>
        <w:tblW w:type="auto" w:w="0"/>
        <w:jc w:val="center"/>
        <w:tblLook w:firstColumn="1" w:firstRow="1" w:lastColumn="0" w:lastRow="0" w:noHBand="0" w:noVBand="1" w:val="04A0"/>
      </w:tblPr>
      <w:tblGrid>
        <w:gridCol w:w="9547"/>
      </w:tblGrid>
      <w:tr>
        <w:tc>
          <w:tcPr>
            <w:tcW w:type="dxa" w:w="9547"/>
            <w:shd w:fill="FFF2CC"/>
            <w:tcMar>
              <w:top w:w="125" w:type="dxa"/>
              <w:start w:w="150" w:type="dxa"/>
              <w:bottom w:w="125" w:type="dxa"/>
              <w:end w:w="150" w:type="dxa"/>
            </w:tcMar>
            <w:tcBorders>
              <w:top w:val="single" w:sz="6" w:space="0" w:color="D6C9A8"/>
              <w:left w:val="single" w:sz="6" w:space="0" w:color="D6C9A8"/>
              <w:bottom w:val="single" w:sz="6" w:space="0" w:color="D6C9A8"/>
              <w:right w:val="single" w:sz="6" w:space="0" w:color="D6C9A8"/>
              <w:insideH w:val="single" w:sz="6" w:space="0" w:color="D6C9A8"/>
              <w:insideV w:val="single" w:sz="6" w:space="0" w:color="D6C9A8"/>
            </w:tcBorders>
          </w:tcPr>
          <w:p>
            <w:pPr>
              <w:spacing w:after="0" w:line="254" w:lineRule="auto"/>
            </w:pPr>
            <w:r/>
            <w:r>
              <w:rPr>
                <w:rFonts w:ascii="Times New Roman" w:hAnsi="Times New Roman" w:eastAsia="Times New Roman"/>
                <w:b/>
                <w:i w:val="0"/>
                <w:color w:val="7F6000"/>
                <w:sz w:val="18"/>
              </w:rPr>
              <w:t>SIMULATED RESULTS ONLY. The figures below are invented worked-example values, not results from actual participant sessions. For this arithmetic example only, T2 assumes that an approved test payment path and credentials are available. If they are not available during actual testing, mark the payment/OTP/receipt steps unavailable and report the limitation.</w:t>
            </w:r>
          </w:p>
        </w:tc>
      </w:tr>
    </w:tbl>
    <w:p>
      <w:pPr>
        <w:spacing w:after="20"/>
      </w:pPr>
    </w:p>
    <w:p>
      <w:pPr>
        <w:spacing w:after="80" w:line="259" w:lineRule="auto"/>
      </w:pPr>
      <w:r>
        <w:rPr>
          <w:rFonts w:ascii="Times New Roman" w:hAnsi="Times New Roman" w:eastAsia="Times New Roman"/>
          <w:b w:val="0"/>
          <w:i w:val="0"/>
          <w:color w:val="000000"/>
          <w:sz w:val="19"/>
        </w:rPr>
        <w:t>Worked-example sample: five hypothetical participants × eight tasks = 40 task attempts. Each member scope receives 10 attempts. The rates and averages below follow the scoring rules above.</w:t>
      </w:r>
    </w:p>
    <w:p>
      <w:pPr>
        <w:keepNext/>
        <w:spacing w:before="100" w:after="60"/>
      </w:pPr>
      <w:r>
        <w:rPr>
          <w:rFonts w:ascii="Times New Roman" w:hAnsi="Times New Roman" w:eastAsia="Times New Roman"/>
          <w:b/>
          <w:i w:val="0"/>
          <w:color w:val="000000"/>
          <w:sz w:val="21"/>
        </w:rPr>
        <w:t>Task-level outcome matrix</w:t>
      </w:r>
    </w:p>
    <w:tbl>
      <w:tblPr>
        <w:tblW w:type="auto" w:w="0"/>
        <w:jc w:val="center"/>
        <w:tblLayout w:type="fixed"/>
        <w:tblLook w:firstColumn="1" w:firstRow="1" w:lastColumn="0" w:lastRow="0" w:noHBand="0" w:noVBand="1" w:val="04A0"/>
      </w:tblPr>
      <w:tblGrid>
        <w:gridCol w:w="3024"/>
        <w:gridCol w:w="1440"/>
        <w:gridCol w:w="1224"/>
        <w:gridCol w:w="1656"/>
        <w:gridCol w:w="1728"/>
      </w:tblGrid>
      <w:tr>
        <w:trPr>
          <w:tblHeader w:val="true"/>
        </w:trP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Task / member</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I / A / Inc.</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Completed</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Mean time (s)</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Mean errors / attempt</w:t>
            </w:r>
          </w:p>
        </w:tc>
      </w:tr>
      <w:t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T1 M1 | Availability CRUD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3 / 1 / 1</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4/5 (80%)</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145</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1.20</w:t>
            </w:r>
          </w:p>
        </w:tc>
      </w:tr>
      <w:t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T2 M1 | Booking and payment record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2 / 2 / 1</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4/5 (80%)</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245</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1.60</w:t>
            </w:r>
          </w:p>
        </w:tc>
      </w:tr>
      <w:t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T3 M2 | Search and saved tutors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4 / 1 / 0</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5/5 (100%)</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110</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0.80</w:t>
            </w:r>
          </w:p>
        </w:tc>
      </w:tr>
      <w:t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T4 M2 | Review and rating CRUD</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3 / 1 / 1</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4/5 (80%)</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160</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1.20</w:t>
            </w:r>
          </w:p>
        </w:tc>
      </w:tr>
      <w:t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T5 M3 | Goals, resources and report</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3 / 1 / 1</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4/5 (80%)</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130</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1.20</w:t>
            </w:r>
          </w:p>
        </w:tc>
      </w:tr>
      <w:t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T6 M3 | Practice assessment and moderation</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2 / 2 / 1</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4/5 (80%)</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210</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2.00</w:t>
            </w:r>
          </w:p>
        </w:tc>
      </w:tr>
      <w:t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T7 M4 | Registration and profile</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4 / 1 / 0</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5/5 (100%)</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180</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0.80</w:t>
            </w:r>
          </w:p>
        </w:tc>
      </w:tr>
      <w:t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T8 M4 | Tutor evidence review</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2 / 2 / 1</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4/5 (80%)</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195</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5"/>
              </w:rPr>
              <w:t>1.80</w:t>
            </w:r>
          </w:p>
        </w:tc>
      </w:tr>
      <w:tr>
        <w:tc>
          <w:tcPr>
            <w:tcW w:type="dxa" w:w="30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Overall (40 attempts)</w:t>
            </w:r>
          </w:p>
        </w:tc>
        <w:tc>
          <w:tcPr>
            <w:tcW w:type="dxa" w:w="144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23 / 11 / 6</w:t>
            </w:r>
          </w:p>
        </w:tc>
        <w:tc>
          <w:tcPr>
            <w:tcW w:type="dxa" w:w="122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34/40 (85%)</w:t>
            </w:r>
          </w:p>
        </w:tc>
        <w:tc>
          <w:tcPr>
            <w:tcW w:type="dxa" w:w="1655"/>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170</w:t>
            </w:r>
          </w:p>
        </w:tc>
        <w:tc>
          <w:tcPr>
            <w:tcW w:type="dxa" w:w="172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5"/>
              </w:rPr>
              <w:t>1.33</w:t>
            </w:r>
          </w:p>
        </w:tc>
      </w:tr>
    </w:tbl>
    <w:p>
      <w:pPr>
        <w:spacing w:after="20"/>
      </w:pPr>
    </w:p>
    <w:p>
      <w:pPr>
        <w:spacing w:after="80" w:line="259" w:lineRule="auto"/>
      </w:pPr>
      <w:r>
        <w:rPr>
          <w:rFonts w:ascii="Times New Roman" w:hAnsi="Times New Roman" w:eastAsia="Times New Roman"/>
          <w:b w:val="0"/>
          <w:i w:val="0"/>
          <w:color w:val="000000"/>
          <w:sz w:val="18"/>
        </w:rPr>
        <w:t>I = independent; A = assisted; Inc. = incomplete. In this illustrative dataset, 23/40 attempts (57.5%) were completed independently, 11/40 (27.5%) with assistance, and 6/40 (15%) were incomplete. Overall completion including assisted attempts is 34/40 (85%). The mean time is 5,790 seconds ÷ 34 completed attempts = 170.3 seconds, rounded to 170. Mean errors are 10.6 across the eight task averages = 1.325 per attempt, rounded to 1.33.</w:t>
      </w:r>
    </w:p>
    <w:p>
      <w:pPr>
        <w:keepNext/>
        <w:spacing w:before="100" w:after="60"/>
      </w:pPr>
      <w:r>
        <w:rPr>
          <w:rFonts w:ascii="Times New Roman" w:hAnsi="Times New Roman" w:eastAsia="Times New Roman"/>
          <w:b/>
          <w:i w:val="0"/>
          <w:color w:val="000000"/>
          <w:sz w:val="21"/>
        </w:rPr>
        <w:t>Member-level balance check</w:t>
      </w:r>
    </w:p>
    <w:tbl>
      <w:tblPr>
        <w:tblW w:type="auto" w:w="0"/>
        <w:jc w:val="center"/>
        <w:tblLayout w:type="fixed"/>
        <w:tblLook w:firstColumn="1" w:firstRow="1" w:lastColumn="0" w:lastRow="0" w:noHBand="0" w:noVBand="1" w:val="04A0"/>
      </w:tblPr>
      <w:tblGrid>
        <w:gridCol w:w="2592"/>
        <w:gridCol w:w="691"/>
        <w:gridCol w:w="821"/>
        <w:gridCol w:w="1181"/>
        <w:gridCol w:w="1094"/>
        <w:gridCol w:w="1296"/>
        <w:gridCol w:w="1397"/>
      </w:tblGrid>
      <w:tr>
        <w:trPr>
          <w:tblHeader w:val="true"/>
        </w:trP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4"/>
              </w:rPr>
              <w:t>Member</w:t>
            </w:r>
          </w:p>
        </w:tc>
        <w:tc>
          <w:tcPr>
            <w:tcW w:type="dxa" w:w="691"/>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4"/>
              </w:rPr>
              <w:t>Tasks</w:t>
            </w:r>
          </w:p>
        </w:tc>
        <w:tc>
          <w:tcPr>
            <w:tcW w:type="dxa" w:w="8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4"/>
              </w:rPr>
              <w:t>Attempts</w:t>
            </w:r>
          </w:p>
        </w:tc>
        <w:tc>
          <w:tcPr>
            <w:tcW w:type="dxa" w:w="11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4"/>
              </w:rPr>
              <w:t>I / A / Inc.</w:t>
            </w:r>
          </w:p>
        </w:tc>
        <w:tc>
          <w:tcPr>
            <w:tcW w:type="dxa" w:w="109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4"/>
              </w:rPr>
              <w:t>Completed</w:t>
            </w:r>
          </w:p>
        </w:tc>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4"/>
              </w:rPr>
              <w:t>Mean time (s)</w:t>
            </w:r>
          </w:p>
        </w:tc>
        <w:tc>
          <w:tcPr>
            <w:tcW w:type="dxa" w:w="13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4"/>
              </w:rPr>
              <w:t>Errors / attempt</w:t>
            </w:r>
          </w:p>
        </w:tc>
      </w:tr>
      <w:t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4"/>
              </w:rPr>
              <w:t>M1 | IT23730724 | V. D. Wijesiri</w:t>
            </w:r>
          </w:p>
        </w:tc>
        <w:tc>
          <w:tcPr>
            <w:tcW w:type="dxa" w:w="691"/>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4"/>
              </w:rPr>
              <w:t>T1, T2</w:t>
            </w:r>
          </w:p>
        </w:tc>
        <w:tc>
          <w:tcPr>
            <w:tcW w:type="dxa" w:w="8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4"/>
              </w:rPr>
              <w:t>10</w:t>
            </w:r>
          </w:p>
        </w:tc>
        <w:tc>
          <w:tcPr>
            <w:tcW w:type="dxa" w:w="11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4"/>
              </w:rPr>
              <w:t>5 / 3 / 2</w:t>
            </w:r>
          </w:p>
        </w:tc>
        <w:tc>
          <w:tcPr>
            <w:tcW w:type="dxa" w:w="109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4"/>
              </w:rPr>
              <w:t>8/10 (80%)</w:t>
            </w:r>
          </w:p>
        </w:tc>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4"/>
              </w:rPr>
              <w:t>195</w:t>
            </w:r>
          </w:p>
        </w:tc>
        <w:tc>
          <w:tcPr>
            <w:tcW w:type="dxa" w:w="13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4"/>
              </w:rPr>
              <w:t>1.40</w:t>
            </w:r>
          </w:p>
        </w:tc>
      </w:tr>
      <w:t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4"/>
              </w:rPr>
              <w:t>M2 | IT23721128 | W. K. Nethmi</w:t>
            </w:r>
          </w:p>
        </w:tc>
        <w:tc>
          <w:tcPr>
            <w:tcW w:type="dxa" w:w="691"/>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4"/>
              </w:rPr>
              <w:t>T3, T4</w:t>
            </w:r>
          </w:p>
        </w:tc>
        <w:tc>
          <w:tcPr>
            <w:tcW w:type="dxa" w:w="8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4"/>
              </w:rPr>
              <w:t>10</w:t>
            </w:r>
          </w:p>
        </w:tc>
        <w:tc>
          <w:tcPr>
            <w:tcW w:type="dxa" w:w="11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4"/>
              </w:rPr>
              <w:t>7 / 2 / 1</w:t>
            </w:r>
          </w:p>
        </w:tc>
        <w:tc>
          <w:tcPr>
            <w:tcW w:type="dxa" w:w="109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4"/>
              </w:rPr>
              <w:t>9/10 (90%)</w:t>
            </w:r>
          </w:p>
        </w:tc>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4"/>
              </w:rPr>
              <w:t>132</w:t>
            </w:r>
          </w:p>
        </w:tc>
        <w:tc>
          <w:tcPr>
            <w:tcW w:type="dxa" w:w="13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4"/>
              </w:rPr>
              <w:t>1.00</w:t>
            </w:r>
          </w:p>
        </w:tc>
      </w:tr>
      <w:t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4"/>
              </w:rPr>
              <w:t>M3 | IT23725256 | R. G. C. S. Ranasinghe</w:t>
            </w:r>
          </w:p>
        </w:tc>
        <w:tc>
          <w:tcPr>
            <w:tcW w:type="dxa" w:w="691"/>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4"/>
              </w:rPr>
              <w:t>T5, T6</w:t>
            </w:r>
          </w:p>
        </w:tc>
        <w:tc>
          <w:tcPr>
            <w:tcW w:type="dxa" w:w="8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4"/>
              </w:rPr>
              <w:t>10</w:t>
            </w:r>
          </w:p>
        </w:tc>
        <w:tc>
          <w:tcPr>
            <w:tcW w:type="dxa" w:w="11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4"/>
              </w:rPr>
              <w:t>5 / 3 / 2</w:t>
            </w:r>
          </w:p>
        </w:tc>
        <w:tc>
          <w:tcPr>
            <w:tcW w:type="dxa" w:w="109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4"/>
              </w:rPr>
              <w:t>8/10 (80%)</w:t>
            </w:r>
          </w:p>
        </w:tc>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4"/>
              </w:rPr>
              <w:t>170</w:t>
            </w:r>
          </w:p>
        </w:tc>
        <w:tc>
          <w:tcPr>
            <w:tcW w:type="dxa" w:w="13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4"/>
              </w:rPr>
              <w:t>1.60</w:t>
            </w:r>
          </w:p>
        </w:tc>
      </w:tr>
      <w:tr>
        <w:tc>
          <w:tcPr>
            <w:tcW w:type="dxa" w:w="2592"/>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4"/>
              </w:rPr>
              <w:t>M4 | IT23729384 | N. G. H. Rashini</w:t>
            </w:r>
          </w:p>
        </w:tc>
        <w:tc>
          <w:tcPr>
            <w:tcW w:type="dxa" w:w="691"/>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4"/>
              </w:rPr>
              <w:t>T7, T8</w:t>
            </w:r>
          </w:p>
        </w:tc>
        <w:tc>
          <w:tcPr>
            <w:tcW w:type="dxa" w:w="8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4"/>
              </w:rPr>
              <w:t>10</w:t>
            </w:r>
          </w:p>
        </w:tc>
        <w:tc>
          <w:tcPr>
            <w:tcW w:type="dxa" w:w="118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4"/>
              </w:rPr>
              <w:t>6 / 3 / 1</w:t>
            </w:r>
          </w:p>
        </w:tc>
        <w:tc>
          <w:tcPr>
            <w:tcW w:type="dxa" w:w="109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4"/>
              </w:rPr>
              <w:t>9/10 (90%)</w:t>
            </w:r>
          </w:p>
        </w:tc>
        <w:tc>
          <w:tcPr>
            <w:tcW w:type="dxa" w:w="12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4"/>
              </w:rPr>
              <w:t>187</w:t>
            </w:r>
          </w:p>
        </w:tc>
        <w:tc>
          <w:tcPr>
            <w:tcW w:type="dxa" w:w="139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4"/>
              </w:rPr>
              <w:t>1.30</w:t>
            </w:r>
          </w:p>
        </w:tc>
      </w:tr>
    </w:tbl>
    <w:p>
      <w:pPr>
        <w:spacing w:after="20"/>
      </w:pPr>
    </w:p>
    <w:p>
      <w:pPr>
        <w:spacing w:after="80" w:line="259" w:lineRule="auto"/>
      </w:pPr>
      <w:r>
        <w:rPr>
          <w:rFonts w:ascii="Times New Roman" w:hAnsi="Times New Roman" w:eastAsia="Times New Roman"/>
          <w:b w:val="0"/>
          <w:i w:val="0"/>
          <w:color w:val="000000"/>
          <w:sz w:val="18"/>
        </w:rPr>
        <w:t>All four members receive equal test volume: two tasks and ten attempts each. The differing example completion rates are driven by the task-level values, not by unequal allocation.</w:t>
      </w:r>
    </w:p>
    <w:p>
      <w:pPr>
        <w:keepNext/>
        <w:spacing w:before="100" w:after="60"/>
      </w:pPr>
      <w:r>
        <w:rPr>
          <w:rFonts w:ascii="Times New Roman" w:hAnsi="Times New Roman" w:eastAsia="Times New Roman"/>
          <w:b/>
          <w:i w:val="0"/>
          <w:color w:val="000000"/>
          <w:sz w:val="21"/>
        </w:rPr>
        <w:t>System Usability Scale</w:t>
      </w:r>
    </w:p>
    <w:p>
      <w:pPr>
        <w:spacing w:after="80" w:line="259" w:lineRule="auto"/>
      </w:pPr>
      <w:r>
        <w:rPr>
          <w:rFonts w:ascii="Times New Roman" w:hAnsi="Times New Roman" w:eastAsia="Times New Roman"/>
          <w:b w:val="0"/>
          <w:i w:val="0"/>
          <w:color w:val="000000"/>
          <w:sz w:val="18"/>
        </w:rPr>
        <w:t>The example assumes five complete SUS forms. Scores below are illustrative only and must be replaced with values scored from actual questionnaires.</w:t>
      </w:r>
    </w:p>
    <w:tbl>
      <w:tblPr>
        <w:tblW w:type="auto" w:w="0"/>
        <w:jc w:val="center"/>
        <w:tblLayout w:type="fixed"/>
        <w:tblLook w:firstColumn="1" w:firstRow="1" w:lastColumn="0" w:lastRow="0" w:noHBand="0" w:noVBand="1" w:val="04A0"/>
      </w:tblPr>
      <w:tblGrid>
        <w:gridCol w:w="2448"/>
        <w:gridCol w:w="3816"/>
        <w:gridCol w:w="2808"/>
      </w:tblGrid>
      <w:tr>
        <w:trPr>
          <w:tblHeader w:val="true"/>
        </w:trP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6"/>
              </w:rPr>
              <w:t>Example ID</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6"/>
              </w:rPr>
              <w:t>Form status</w:t>
            </w:r>
          </w:p>
        </w:tc>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6"/>
              </w:rPr>
              <w:t>SUS score</w:t>
            </w:r>
          </w:p>
        </w:tc>
      </w:tr>
      <w:t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SIM-P01</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Complete (example)</w:t>
            </w:r>
          </w:p>
        </w:tc>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6"/>
              </w:rPr>
              <w:t>70.0</w:t>
            </w:r>
          </w:p>
        </w:tc>
      </w:tr>
      <w:t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SIM-P02</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Complete (example)</w:t>
            </w:r>
          </w:p>
        </w:tc>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6"/>
              </w:rPr>
              <w:t>75.0</w:t>
            </w:r>
          </w:p>
        </w:tc>
      </w:tr>
      <w:t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SIM-P03</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Complete (example)</w:t>
            </w:r>
          </w:p>
        </w:tc>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6"/>
              </w:rPr>
              <w:t>77.5</w:t>
            </w:r>
          </w:p>
        </w:tc>
      </w:tr>
      <w:t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SIM-P04</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Complete (example)</w:t>
            </w:r>
          </w:p>
        </w:tc>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6"/>
              </w:rPr>
              <w:t>67.5</w:t>
            </w:r>
          </w:p>
        </w:tc>
      </w:tr>
      <w:t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SIM-P05</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6"/>
              </w:rPr>
              <w:t>Complete (example)</w:t>
            </w:r>
          </w:p>
        </w:tc>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center"/>
            </w:pPr>
            <w:r/>
            <w:r>
              <w:rPr>
                <w:rFonts w:ascii="Times New Roman" w:hAnsi="Times New Roman" w:eastAsia="Times New Roman"/>
                <w:b w:val="0"/>
                <w:i w:val="0"/>
                <w:color w:val="000000"/>
                <w:sz w:val="16"/>
              </w:rPr>
              <w:t>72.5</w:t>
            </w:r>
          </w:p>
        </w:tc>
      </w:tr>
      <w:tr>
        <w:tc>
          <w:tcPr>
            <w:tcW w:type="dxa" w:w="244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Illustrative mean</w:t>
            </w:r>
          </w:p>
        </w:tc>
        <w:tc>
          <w:tcPr>
            <w:tcW w:type="dxa" w:w="3816"/>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6"/>
              </w:rPr>
              <w:t>n = 5 example forms</w:t>
            </w:r>
          </w:p>
        </w:tc>
        <w:tc>
          <w:tcPr>
            <w:tcW w:type="dxa" w:w="280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center"/>
            </w:pPr>
            <w:r/>
            <w:r>
              <w:rPr>
                <w:rFonts w:ascii="Times New Roman" w:hAnsi="Times New Roman" w:eastAsia="Times New Roman"/>
                <w:b w:val="0"/>
                <w:i w:val="0"/>
                <w:color w:val="000000"/>
                <w:sz w:val="16"/>
              </w:rPr>
              <w:t>72.5 / 100</w:t>
            </w:r>
          </w:p>
        </w:tc>
      </w:tr>
    </w:tbl>
    <w:p>
      <w:pPr>
        <w:spacing w:after="20"/>
      </w:pPr>
    </w:p>
    <w:p>
      <w:pPr>
        <w:spacing w:after="80" w:line="259" w:lineRule="auto"/>
      </w:pPr>
      <w:r>
        <w:rPr>
          <w:rFonts w:ascii="Times New Roman" w:hAnsi="Times New Roman" w:eastAsia="Times New Roman"/>
          <w:b w:val="0"/>
          <w:i w:val="0"/>
          <w:color w:val="000000"/>
          <w:sz w:val="18"/>
        </w:rPr>
        <w:t>Report the numerical SUS score and apply only the interpretation scale required by the course or approved source. The example score is not a measurement of the UniMentor working app.</w:t>
      </w:r>
    </w:p>
    <w:p>
      <w:pPr>
        <w:keepNext/>
        <w:spacing w:before="100" w:after="60"/>
      </w:pPr>
      <w:r>
        <w:rPr>
          <w:rFonts w:ascii="Times New Roman" w:hAnsi="Times New Roman" w:eastAsia="Times New Roman"/>
          <w:b/>
          <w:i w:val="0"/>
          <w:color w:val="000000"/>
          <w:sz w:val="21"/>
        </w:rPr>
        <w:t>Example observations and recommended follow-up</w:t>
      </w:r>
    </w:p>
    <w:tbl>
      <w:tblPr>
        <w:tblW w:type="auto" w:w="0"/>
        <w:jc w:val="center"/>
        <w:tblLayout w:type="fixed"/>
        <w:tblLook w:firstColumn="1" w:firstRow="1" w:lastColumn="0" w:lastRow="0" w:noHBand="0" w:noVBand="1" w:val="04A0"/>
      </w:tblPr>
      <w:tblGrid>
        <w:gridCol w:w="3384"/>
        <w:gridCol w:w="2520"/>
        <w:gridCol w:w="3168"/>
      </w:tblGrid>
      <w:tr>
        <w:trPr>
          <w:tblHeader w:val="true"/>
        </w:trPr>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Illustrative observation</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Possible impact</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line="245" w:lineRule="auto"/>
              <w:jc w:val="center"/>
            </w:pPr>
            <w:r/>
            <w:r>
              <w:rPr>
                <w:rFonts w:ascii="Times New Roman" w:hAnsi="Times New Roman" w:eastAsia="Times New Roman"/>
                <w:b/>
                <w:i w:val="0"/>
                <w:color w:val="FFFFFF"/>
                <w:sz w:val="15"/>
              </w:rPr>
              <w:t>Follow-up to verify</w:t>
            </w:r>
          </w:p>
        </w:tc>
      </w:tr>
      <w:tr>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SIMULATED T1: 2/5 participants paused after editing a future slot to check whether the change persisted. No verbatim comment is available.</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Uncertainty about the saved schedule state.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Make the save confirmation and updated slot details easier to notice; retest T1 after reopening the schedule.</w:t>
            </w:r>
          </w:p>
        </w:tc>
      </w:tr>
      <w:tr>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SIMULATED T2: 2/5 participants reread the fee and authorization summary before continuing; one did not finish the full sandbox scenario.</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Payment steps can feel consequential and the fee-to-confirmation sequence needs clear feedback.</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Clarify the amount, sandbox/test indicator, authorization step, and receipt status. Retest only with approved sandbox credentials.</w:t>
            </w:r>
          </w:p>
        </w:tc>
      </w:tr>
      <w:tr>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SIMULATED T4: 2/5 participants searched more than once for the edit or removal action on their own review.</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Review maintenance may take extra navigation.</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Keep the owner’s review actions visible and distinct; retest create/edit/delete with a disposable review.</w:t>
            </w:r>
          </w:p>
        </w:tc>
      </w:tr>
      <w:tr>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SIMULATED T5: 2/5 participants returned to the dashboard to confirm that goal progress had changed.</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The link between logging progress and the analytics/report view may be unclear.</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Show a clear saved-progress confirmation and a direct path to the updated report; retest T5.</w:t>
            </w:r>
          </w:p>
        </w:tc>
      </w:tr>
      <w:tr>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SIMULATED T6: 3/5 participants hesitated when moving from the student result to the reviewer queue.</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Role transition and moderation state may be hard to follow in a multi-role workflow.</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5" w:lineRule="auto"/>
              <w:jc w:val="left"/>
            </w:pPr>
            <w:r/>
            <w:r>
              <w:rPr>
                <w:rFonts w:ascii="Times New Roman" w:hAnsi="Times New Roman" w:eastAsia="Times New Roman"/>
                <w:b w:val="0"/>
                <w:i w:val="0"/>
                <w:color w:val="000000"/>
                <w:sz w:val="15"/>
              </w:rPr>
              <w:t>Separate student result from reviewer actions and show submission status; retest with synthetic accounts.</w:t>
            </w:r>
          </w:p>
        </w:tc>
      </w:tr>
      <w:tr>
        <w:tc>
          <w:tcPr>
            <w:tcW w:type="dxa" w:w="3384"/>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SIMULATED positive pattern T3: 4/5 participants found relevant tutor profiles without clarification.</w:t>
            </w:r>
          </w:p>
        </w:tc>
        <w:tc>
          <w:tcPr>
            <w:tcW w:type="dxa" w:w="2520"/>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Search and profile labels appear understandable in this example.</w:t>
            </w:r>
          </w:p>
        </w:tc>
        <w:tc>
          <w:tcPr>
            <w:tcW w:type="dxa" w:w="3168"/>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9"/>
          </w:tcPr>
          <w:p>
            <w:pPr>
              <w:spacing w:after="0" w:line="245" w:lineRule="auto"/>
              <w:jc w:val="left"/>
            </w:pPr>
            <w:r/>
            <w:r>
              <w:rPr>
                <w:rFonts w:ascii="Times New Roman" w:hAnsi="Times New Roman" w:eastAsia="Times New Roman"/>
                <w:b w:val="0"/>
                <w:i w:val="0"/>
                <w:color w:val="000000"/>
                <w:sz w:val="15"/>
              </w:rPr>
              <w:t>Retain the clear search labels; verify saved-tutor persistence with actual participants.</w:t>
            </w:r>
          </w:p>
        </w:tc>
      </w:tr>
      <w:tr>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pPr>
            <w:r/>
            <w:r>
              <w:rPr>
                <w:rFonts w:ascii="Times New Roman" w:hAnsi="Times New Roman" w:eastAsia="Times New Roman"/>
                <w:sz w:val="15"/>
              </w:rPr>
              <w:t>SIMULATED T8: 2/5 participants paused after requesting re-upload to check whether the application status had changed. No verbatim comment was recorded.</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pPr>
            <w:r/>
            <w:r>
              <w:rPr>
                <w:rFonts w:ascii="Times New Roman" w:hAnsi="Times New Roman" w:eastAsia="Times New Roman"/>
                <w:sz w:val="15"/>
              </w:rPr>
              <w:t>The reviewer may be unsure whether the evidence decision was saved.</w:t>
            </w:r>
          </w:p>
        </w:tc>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pPr>
            <w:r/>
            <w:r>
              <w:rPr>
                <w:rFonts w:ascii="Times New Roman" w:hAnsi="Times New Roman" w:eastAsia="Times New Roman"/>
                <w:sz w:val="15"/>
              </w:rPr>
              <w:t>Show a clear confirmation and updated application status; retest T8 by leaving and reopening the synthetic application.</w:t>
            </w:r>
          </w:p>
        </w:tc>
      </w:tr>
    </w:tbl>
    <w:p>
      <w:pPr>
        <w:spacing w:after="20"/>
      </w:pPr>
    </w:p>
    <w:p>
      <w:pPr>
        <w:spacing w:after="80" w:line="259" w:lineRule="auto"/>
      </w:pPr>
      <w:r>
        <w:rPr>
          <w:rFonts w:ascii="Times New Roman" w:hAnsi="Times New Roman" w:eastAsia="Times New Roman"/>
          <w:b w:val="0"/>
          <w:i w:val="0"/>
          <w:color w:val="000000"/>
          <w:sz w:val="18"/>
        </w:rPr>
        <w:t>These are simulated patterns, not confirmed defects or direct participant quotations. Confirm each observation using real notes before listing it as an issue in the report.</w:t>
      </w:r>
    </w:p>
    <w:p>
      <w:pPr>
        <w:keepNext/>
        <w:spacing w:before="100" w:after="60"/>
      </w:pPr>
      <w:r>
        <w:rPr>
          <w:rFonts w:ascii="Times New Roman" w:hAnsi="Times New Roman" w:eastAsia="Times New Roman"/>
          <w:b/>
          <w:i w:val="0"/>
          <w:color w:val="000000"/>
          <w:sz w:val="21"/>
        </w:rPr>
        <w:t>Summary and actual evidence to attach</w:t>
      </w:r>
    </w:p>
    <w:p>
      <w:pPr>
        <w:spacing w:after="80" w:line="259" w:lineRule="auto"/>
      </w:pPr>
      <w:r>
        <w:rPr>
          <w:rFonts w:ascii="Times New Roman" w:hAnsi="Times New Roman" w:eastAsia="Times New Roman"/>
          <w:b w:val="0"/>
          <w:i w:val="0"/>
          <w:color w:val="000000"/>
          <w:sz w:val="19"/>
        </w:rPr>
        <w:t>In this worked example, each member receives the same two tasks and ten attempts; the illustrative overall completion rate is 85%, with a mean task time of 170 seconds among completed attempts. The example suggests retesting saved-state feedback, payment-step clarity, review controls, progress reporting, and movement between assessment results and moderation. These are demonstration values only.</w:t>
      </w:r>
    </w:p>
    <w:p>
      <w:pPr>
        <w:spacing w:after="80" w:line="259" w:lineRule="auto"/>
      </w:pPr>
      <w:r>
        <w:rPr>
          <w:rFonts w:ascii="Times New Roman" w:hAnsi="Times New Roman" w:eastAsia="Times New Roman"/>
          <w:b w:val="0"/>
          <w:i w:val="0"/>
          <w:color w:val="000000"/>
          <w:sz w:val="19"/>
        </w:rPr>
        <w:t>For the submitted report, replace all SIM-P IDs, assumed date/mode/device details, counts, times, errors, SUS values, and observations with evidence from completed sessions. Attach anonymized task logs, completed SUS forms and calculations, and consented physical-phone evidence in the appendix. Report any unavailable payment, assessment, or reviewer fixtures honestly.</w:t>
      </w:r>
    </w:p>
    <w:sectPr w:rsidR="00FC693F" w:rsidRPr="0006063C" w:rsidSect="00034616">
      <w:footerReference w:type="default" r:id="rId9"/>
      <w:pgSz w:w="11909" w:h="16834"/>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Times New Roman"/>
        <w:b/>
        <w:i w:val="0"/>
        <w:color w:val="7F6000"/>
        <w:sz w:val="14"/>
      </w:rPr>
      <w:t>SIMULATED WORKED EXAMPLE - replace with actual usability-test evidence before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Usability Testing Plan Execution and Results - Updated Balanced Tasks</dc:title>
  <dc:subject>Assignment 3 section with eight balanced tasks; illustrative results are simulated</dc:subject>
  <dc:creator>UniMentor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