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17</w:t>
      </w:r>
    </w:p>
    <w:p>
      <w:pPr>
        <w:spacing w:after="600"/>
        <w:jc w:val="center"/>
      </w:pPr>
      <w:r>
        <w:t xml:space="preserve">Architecture Decision Records</w:t>
      </w:r>
    </w:p>
    <w:p>
      <w:pPr>
        <w:spacing w:after="200"/>
        <w:jc w:val="center"/>
      </w:pPr>
      <w:r>
        <w:t xml:space="preserve">Why major decisions were made • Alternatives considered • Impact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ADR-001: Database Over Microservices</w:t>
      </w:r>
    </w:p>
    <w:p>
      <w:pPr>
        <w:spacing w:after="100"/>
      </w:pPr>
      <w:r>
        <w:t xml:space="preserve">Decision: Use modular monolith instead of microservices. Reasons: Simpler to develop, easier to deploy, sufficient for projected scale, clear extraction path if future growth requires. Trade-offs: Starts simple, can scale up without major refactor.</w:t>
      </w:r>
    </w:p>
    <w:p>
      <w:pPr>
        <w:pStyle w:val="Heading1"/>
        <w:spacing w:after="200"/>
      </w:pPr>
      <w:r>
        <w:t xml:space="preserve">Chapter 2 - ADR-002: Supabase for Backend</w:t>
      </w:r>
    </w:p>
    <w:p>
      <w:pPr>
        <w:spacing w:after="100"/>
      </w:pPr>
      <w:r>
        <w:t xml:space="preserve">Decision: Use Supabase (PostgreSQL + Auth + Storage) instead of Firebase. Reasons: PostgreSQL for complex queries, open source, better control, SQL familiarity. Trade-offs: Slightly more infrastructure overhead than Firebase.</w:t>
      </w:r>
    </w:p>
    <w:p>
      <w:pPr>
        <w:pStyle w:val="Heading1"/>
        <w:spacing w:after="200"/>
      </w:pPr>
      <w:r>
        <w:t xml:space="preserve">Chapter 3 - ADR-003: Separate Member from Membership</w:t>
      </w:r>
    </w:p>
    <w:p>
      <w:pPr>
        <w:spacing w:after="100"/>
      </w:pPr>
      <w:r>
        <w:t xml:space="preserve">Decision: Split into two tables. Reasons: Perfect history, cleaner renewals, alumni support, no data duplication. Trade-offs: Slight increase in complexity for initial setup.</w:t>
      </w:r>
    </w:p>
    <w:p>
      <w:pPr>
        <w:pStyle w:val="Heading1"/>
        <w:spacing w:after="200"/>
      </w:pPr>
      <w:r>
        <w:t xml:space="preserve">Chapter 4 - ADR-004: Soft Deletion Only</w:t>
      </w:r>
    </w:p>
    <w:p>
      <w:pPr>
        <w:spacing w:after="100"/>
      </w:pPr>
      <w:r>
        <w:t xml:space="preserve">Decision: Never hard delete, always soft delete. Reasons: Preserve history, audit trail, recover deletions, legal compliance. Trade-offs: Database growth over time (mitigated by archival strategy).</w:t>
      </w:r>
    </w:p>
    <w:p>
      <w:pPr>
        <w:pStyle w:val="Heading1"/>
        <w:spacing w:after="200"/>
      </w:pPr>
      <w:r>
        <w:t xml:space="preserve">Chapter 5 - ADR-005: Event-Driven Point Updates</w:t>
      </w:r>
    </w:p>
    <w:p>
      <w:pPr>
        <w:spacing w:after="100"/>
      </w:pPr>
      <w:r>
        <w:t xml:space="preserve">Decision: Use event bus for leaderboard/analytics updates. Reasons: Decouples modules, easier to extend, naturally handles complexity. Trade-offs: Slight delay in updates (milliseconds, acceptable).</w:t>
      </w:r>
    </w:p>
    <w:p>
      <w:pPr>
        <w:spacing w:after="400"/>
      </w:pPr>
    </w:p>
    <w:p>
      <w:r>
        <w:t xml:space="preserve">End of Volume 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2026-07-26T19:12:04.013Z</dcterms:created>
  <dcterms:modified xsi:type="dcterms:W3CDTF">2026-07-26T19:12:04.013Z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