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22</w:t>
      </w:r>
    </w:p>
    <w:p>
      <w:pPr>
        <w:spacing w:after="600"/>
        <w:jc w:val="center"/>
      </w:pPr>
      <w:r>
        <w:t xml:space="preserve">Design Tokens &amp; Theme System</w:t>
      </w:r>
    </w:p>
    <w:p>
      <w:pPr>
        <w:spacing w:after="200"/>
        <w:jc w:val="center"/>
      </w:pPr>
      <w:r>
        <w:t xml:space="preserve">Colors • Spacing • Typography • Shadows • Border Radius • Animations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Color Tokens</w:t>
      </w:r>
    </w:p>
    <w:p>
      <w:pPr>
        <w:spacing w:after="100"/>
      </w:pPr>
      <w:r>
        <w:t xml:space="preserve">Primary: #2E5090 (Royal Blue). Accent: #FF8C42 (Orange). Success: #10B981 (Green). Warning: #F59E0B (Amber). Error: #EF4444 (Red). Neutral: #64748B (Slate). Backgrounds: #F8FAFC (Soft White).</w:t>
      </w:r>
    </w:p>
    <w:p>
      <w:pPr>
        <w:pStyle w:val="Heading1"/>
        <w:spacing w:after="200"/>
      </w:pPr>
      <w:r>
        <w:t xml:space="preserve">Chapter 2 - Spacing Tokens</w:t>
      </w:r>
    </w:p>
    <w:p>
      <w:pPr>
        <w:spacing w:after="100"/>
      </w:pPr>
      <w:r>
        <w:t xml:space="preserve">xs: 4px. sm: 8px. md: 16px. lg: 24px. xl: 32px. 2xl: 48px. 3xl: 64px. Usage: Padding, margins, gaps, consistent throughout.</w:t>
      </w:r>
    </w:p>
    <w:p>
      <w:pPr>
        <w:pStyle w:val="Heading1"/>
        <w:spacing w:after="200"/>
      </w:pPr>
      <w:r>
        <w:t xml:space="preserve">Chapter 3 - Typography Tokens</w:t>
      </w:r>
    </w:p>
    <w:p>
      <w:pPr>
        <w:spacing w:after="100"/>
      </w:pPr>
      <w:r>
        <w:t xml:space="preserve">Font: Inter. Heading: 36px/bold. Subheading: 24px/semibold. Body: 16px/regular. Caption: 14px/regular. Line-height: 1.5 default.</w:t>
      </w:r>
    </w:p>
    <w:p>
      <w:pPr>
        <w:pStyle w:val="Heading1"/>
        <w:spacing w:after="200"/>
      </w:pPr>
      <w:r>
        <w:t xml:space="preserve">Chapter 4 - Shadow Tokens</w:t>
      </w:r>
    </w:p>
    <w:p>
      <w:pPr>
        <w:spacing w:after="100"/>
      </w:pPr>
      <w:r>
        <w:t xml:space="preserve">sm: 0 1px 2px rgba(0,0,0,0.05). md: 0 4px 6px rgba(0,0,0,0.1). lg: 0 10px 15px rgba(0,0,0,0.1). Used for elevation.</w:t>
      </w:r>
    </w:p>
    <w:p>
      <w:pPr>
        <w:pStyle w:val="Heading1"/>
        <w:spacing w:after="200"/>
      </w:pPr>
      <w:r>
        <w:t xml:space="preserve">Chapter 5 - Border Radius</w:t>
      </w:r>
    </w:p>
    <w:p>
      <w:pPr>
        <w:spacing w:after="100"/>
      </w:pPr>
      <w:r>
        <w:t xml:space="preserve">sm: 4px. md: 8px. lg: 12px. full: 9999px (circles). Applied consistently to buttons, cards, inputs.</w:t>
      </w:r>
    </w:p>
    <w:p>
      <w:pPr>
        <w:pStyle w:val="Heading1"/>
        <w:spacing w:after="200"/>
      </w:pPr>
      <w:r>
        <w:t xml:space="preserve">Chapter 6 - Animation Tokens</w:t>
      </w:r>
    </w:p>
    <w:p>
      <w:pPr>
        <w:spacing w:after="100"/>
      </w:pPr>
      <w:r>
        <w:t xml:space="preserve">Duration: 150ms (quick), 300ms (normal), 500ms (slow). Easing: ease-in-out default. Used for transitions, hover effects, modal animations.</w:t>
      </w:r>
    </w:p>
    <w:p>
      <w:pPr>
        <w:spacing w:after="400"/>
      </w:pPr>
    </w:p>
    <w:p>
      <w:r>
        <w:t xml:space="preserve">End of Volume 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2026-07-26T19:12:04.079Z</dcterms:created>
  <dcterms:modified xsi:type="dcterms:W3CDTF">2026-07-26T19:12:04.079Z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