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23</w:t>
      </w:r>
    </w:p>
    <w:p>
      <w:pPr>
        <w:spacing w:after="600"/>
        <w:jc w:val="center"/>
      </w:pPr>
      <w:r>
        <w:t xml:space="preserve">Data Governance &amp; Privacy</w:t>
      </w:r>
    </w:p>
    <w:p>
      <w:pPr>
        <w:spacing w:after="200"/>
        <w:jc w:val="center"/>
      </w:pPr>
      <w:r>
        <w:t xml:space="preserve">Data ownership • Retention • Privacy policy • Compliance • Backups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Data Ownership</w:t>
      </w:r>
    </w:p>
    <w:p>
      <w:pPr>
        <w:spacing w:after="100"/>
      </w:pPr>
      <w:r>
        <w:t xml:space="preserve">Members data: Owned by Club President. Attendance data: Owned by Club President. Audit logs: Owned by System. Settings: Owned by Super Admin. All data belongs to the college, not external systems.</w:t>
      </w:r>
    </w:p>
    <w:p>
      <w:pPr>
        <w:pStyle w:val="Heading1"/>
        <w:spacing w:after="200"/>
      </w:pPr>
      <w:r>
        <w:t xml:space="preserve">Chapter 2 - Data Retention</w:t>
      </w:r>
    </w:p>
    <w:p>
      <w:pPr>
        <w:spacing w:after="100"/>
      </w:pPr>
      <w:r>
        <w:t xml:space="preserve">Attendance records: Indefinite (historical). Member records (soft deleted): Indefinite. Audit logs: Indefinite. Backups: 30 days minimum (configurable). Export downloads: User responsible for retention.</w:t>
      </w:r>
    </w:p>
    <w:p>
      <w:pPr>
        <w:pStyle w:val="Heading1"/>
        <w:spacing w:after="200"/>
      </w:pPr>
      <w:r>
        <w:t xml:space="preserve">Chapter 3 - Privacy Policy</w:t>
      </w:r>
    </w:p>
    <w:p>
      <w:pPr>
        <w:spacing w:after="100"/>
      </w:pPr>
      <w:r>
        <w:t xml:space="preserve">Data collected: Name, Roll Number, Phone, Email, Photo, Branch, Year. Data not collected: Location, Browsing history, External IDs. External access: None (no third-party APIs). User rights: Can export their data, can request deletion (soft delete).</w:t>
      </w:r>
    </w:p>
    <w:p>
      <w:pPr>
        <w:pStyle w:val="Heading1"/>
        <w:spacing w:after="200"/>
      </w:pPr>
      <w:r>
        <w:t xml:space="preserve">Chapter 4 - Data Security</w:t>
      </w:r>
    </w:p>
    <w:p>
      <w:pPr>
        <w:spacing w:after="100"/>
      </w:pPr>
      <w:r>
        <w:t xml:space="preserve">Encryption: At rest (Supabase), In transit (HTTPS). Access: Role-based. Backups: Encrypted, redundant. Password: Hashed via Supabase Auth.</w:t>
      </w:r>
    </w:p>
    <w:p>
      <w:pPr>
        <w:pStyle w:val="Heading1"/>
        <w:spacing w:after="200"/>
      </w:pPr>
      <w:r>
        <w:t xml:space="preserve">Chapter 5 - Compliance</w:t>
      </w:r>
    </w:p>
    <w:p>
      <w:pPr>
        <w:spacing w:after="100"/>
      </w:pPr>
      <w:r>
        <w:t xml:space="preserve">GDPR: Compliant (right to access, right to forget via soft delete). FERPA: Compliant (educational records protected). CCPA: Compliant (data access, deletion, portability).</w:t>
      </w:r>
    </w:p>
    <w:p>
      <w:pPr>
        <w:spacing w:after="400"/>
      </w:pPr>
    </w:p>
    <w:p>
      <w:r>
        <w:t xml:space="preserve">End of Volume 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2026-07-26T19:12:04.087Z</dcterms:created>
  <dcterms:modified xsi:type="dcterms:W3CDTF">2026-07-26T19:12:04.087Z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