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2B6" w:rsidRDefault="00395696" w:rsidP="00395696">
      <w:pPr>
        <w:pStyle w:val="Heading1"/>
      </w:pPr>
      <w:r w:rsidRPr="00395696">
        <w:t xml:space="preserve">The </w:t>
      </w:r>
      <w:r>
        <w:t>C</w:t>
      </w:r>
      <w:r w:rsidRPr="00395696">
        <w:t>orrespondence between DLs</w:t>
      </w:r>
      <w:r w:rsidR="000F69DB">
        <w:t>/OWL</w:t>
      </w:r>
      <w:r w:rsidRPr="00395696">
        <w:t xml:space="preserve"> and OO</w:t>
      </w:r>
    </w:p>
    <w:p w:rsidR="00F35366" w:rsidRDefault="00F35366" w:rsidP="00F35366">
      <w:r>
        <w:t xml:space="preserve">The analogy between DLs and object-orientation can be observed when it is considered that the basic task in constructing </w:t>
      </w:r>
      <w:proofErr w:type="gramStart"/>
      <w:r>
        <w:t>an ontology</w:t>
      </w:r>
      <w:proofErr w:type="gramEnd"/>
      <w:r>
        <w:t xml:space="preserve"> is classification. Explicit </w:t>
      </w:r>
      <w:proofErr w:type="spellStart"/>
      <w:r>
        <w:t>subsumption</w:t>
      </w:r>
      <w:proofErr w:type="spellEnd"/>
      <w:r>
        <w:t xml:space="preserve"> relationships between concepts can be defined in the </w:t>
      </w:r>
      <w:proofErr w:type="spellStart"/>
      <w:r>
        <w:t>TBox</w:t>
      </w:r>
      <w:proofErr w:type="spellEnd"/>
      <w:r>
        <w:t xml:space="preserve">. In object-orientation this can be achieved by definition of an inheritance hierarchy between classes. Classification is further solidified as the basis of DLs in that the core reasoning capabilities they provide are </w:t>
      </w:r>
      <w:proofErr w:type="spellStart"/>
      <w:r>
        <w:t>subsumption</w:t>
      </w:r>
      <w:proofErr w:type="spellEnd"/>
      <w:r>
        <w:t xml:space="preserve"> and instance checking. </w:t>
      </w:r>
      <w:proofErr w:type="spellStart"/>
      <w:r>
        <w:t>Subsumption</w:t>
      </w:r>
      <w:proofErr w:type="spellEnd"/>
      <w:r>
        <w:t xml:space="preserve"> computes a </w:t>
      </w:r>
      <w:proofErr w:type="spellStart"/>
      <w:r>
        <w:t>subsumption</w:t>
      </w:r>
      <w:proofErr w:type="spellEnd"/>
      <w:r>
        <w:t xml:space="preserve"> hierarchy, which essentially categorizes concepts into </w:t>
      </w:r>
      <w:proofErr w:type="spellStart"/>
      <w:r>
        <w:t>superconcept</w:t>
      </w:r>
      <w:proofErr w:type="spellEnd"/>
      <w:r>
        <w:t>/</w:t>
      </w:r>
      <w:proofErr w:type="spellStart"/>
      <w:r>
        <w:t>subconcept</w:t>
      </w:r>
      <w:proofErr w:type="spellEnd"/>
      <w:r>
        <w:t xml:space="preserve"> relationships. Instance checking verifies whether a given individual is an instance of a</w:t>
      </w:r>
      <w:r w:rsidR="00961002">
        <w:t xml:space="preserve"> specific concept </w:t>
      </w:r>
      <w:sdt>
        <w:sdtPr>
          <w:id w:val="-1058935473"/>
          <w:citation/>
        </w:sdtPr>
        <w:sdtContent>
          <w:r w:rsidR="00961002">
            <w:fldChar w:fldCharType="begin"/>
          </w:r>
          <w:r w:rsidR="00961002">
            <w:rPr>
              <w:lang w:val="en-US"/>
            </w:rPr>
            <w:instrText xml:space="preserve"> CITATION Baa071 \l 1033 </w:instrText>
          </w:r>
          <w:r w:rsidR="00961002">
            <w:fldChar w:fldCharType="separate"/>
          </w:r>
          <w:r w:rsidR="00961002" w:rsidRPr="00961002">
            <w:rPr>
              <w:noProof/>
              <w:lang w:val="en-US"/>
            </w:rPr>
            <w:t>[1]</w:t>
          </w:r>
          <w:r w:rsidR="00961002">
            <w:fldChar w:fldCharType="end"/>
          </w:r>
        </w:sdtContent>
      </w:sdt>
      <w:r>
        <w:t>.</w:t>
      </w:r>
    </w:p>
    <w:p w:rsidR="00597914" w:rsidRDefault="00597914" w:rsidP="00F35366"/>
    <w:p w:rsidR="00F35366" w:rsidRDefault="00F35366" w:rsidP="00F35366"/>
    <w:p w:rsidR="009C43A6" w:rsidRDefault="00F35366" w:rsidP="00F35366">
      <w:r>
        <w:t xml:space="preserve">In object-orientation the domain of interest is described in terms of classes that have properties, which are defined via attributes and/or associations. </w:t>
      </w:r>
      <w:r w:rsidR="00597914">
        <w:t xml:space="preserve">Classes in essence have a set-theoretic semantics, i.e. a class represents a set of objects in the domain of interest which shares attributes. </w:t>
      </w:r>
      <w:r>
        <w:t>Objects that are classified by a class are called instances of the class. The analogy with DLs is that classes, attributes/associations and instances (or sometimes called objects) correspond respectively with concepts, role</w:t>
      </w:r>
      <w:r w:rsidR="00062FCD">
        <w:t>s and individuals in DLs</w:t>
      </w:r>
      <w:r w:rsidR="00245375">
        <w:t>, which in OWL corresponds respectively to classes, properties and individuals.</w:t>
      </w:r>
    </w:p>
    <w:p w:rsidR="008A1875" w:rsidRDefault="008A1875" w:rsidP="00F35366"/>
    <w:p w:rsidR="008A1875" w:rsidRDefault="008A1875" w:rsidP="00F35366">
      <w:r>
        <w:t>This correspondence between object orientation, DLs and OWL 2 is summarized in Table below.</w:t>
      </w:r>
    </w:p>
    <w:p w:rsidR="00597914" w:rsidRDefault="00597914" w:rsidP="00F35366"/>
    <w:tbl>
      <w:tblPr>
        <w:tblStyle w:val="TableGrid"/>
        <w:tblW w:w="0" w:type="auto"/>
        <w:tblLook w:val="04A0" w:firstRow="1" w:lastRow="0" w:firstColumn="1" w:lastColumn="0" w:noHBand="0" w:noVBand="1"/>
      </w:tblPr>
      <w:tblGrid>
        <w:gridCol w:w="2310"/>
        <w:gridCol w:w="2311"/>
        <w:gridCol w:w="2311"/>
      </w:tblGrid>
      <w:tr w:rsidR="00245375" w:rsidTr="00245375">
        <w:tc>
          <w:tcPr>
            <w:tcW w:w="2310" w:type="dxa"/>
          </w:tcPr>
          <w:p w:rsidR="00245375" w:rsidRPr="00245375" w:rsidRDefault="00245375" w:rsidP="00F35366">
            <w:pPr>
              <w:rPr>
                <w:b/>
              </w:rPr>
            </w:pPr>
            <w:r w:rsidRPr="00245375">
              <w:rPr>
                <w:b/>
              </w:rPr>
              <w:t>Object orientation</w:t>
            </w:r>
          </w:p>
        </w:tc>
        <w:tc>
          <w:tcPr>
            <w:tcW w:w="2311" w:type="dxa"/>
          </w:tcPr>
          <w:p w:rsidR="00245375" w:rsidRPr="00245375" w:rsidRDefault="00245375" w:rsidP="00F35366">
            <w:pPr>
              <w:rPr>
                <w:b/>
              </w:rPr>
            </w:pPr>
            <w:r w:rsidRPr="00245375">
              <w:rPr>
                <w:b/>
              </w:rPr>
              <w:t>DLs</w:t>
            </w:r>
          </w:p>
        </w:tc>
        <w:tc>
          <w:tcPr>
            <w:tcW w:w="2311" w:type="dxa"/>
          </w:tcPr>
          <w:p w:rsidR="00245375" w:rsidRPr="00245375" w:rsidRDefault="00245375" w:rsidP="00F35366">
            <w:pPr>
              <w:rPr>
                <w:b/>
              </w:rPr>
            </w:pPr>
            <w:r w:rsidRPr="00245375">
              <w:rPr>
                <w:b/>
              </w:rPr>
              <w:t>OWL 2</w:t>
            </w:r>
          </w:p>
        </w:tc>
      </w:tr>
      <w:tr w:rsidR="00245375" w:rsidTr="00245375">
        <w:tc>
          <w:tcPr>
            <w:tcW w:w="2310" w:type="dxa"/>
          </w:tcPr>
          <w:p w:rsidR="00245375" w:rsidRDefault="00245375" w:rsidP="00F35366">
            <w:r>
              <w:t>Class</w:t>
            </w:r>
          </w:p>
        </w:tc>
        <w:tc>
          <w:tcPr>
            <w:tcW w:w="2311" w:type="dxa"/>
          </w:tcPr>
          <w:p w:rsidR="00245375" w:rsidRDefault="00245375" w:rsidP="00F35366">
            <w:r>
              <w:t>Concept</w:t>
            </w:r>
          </w:p>
        </w:tc>
        <w:tc>
          <w:tcPr>
            <w:tcW w:w="2311" w:type="dxa"/>
          </w:tcPr>
          <w:p w:rsidR="00245375" w:rsidRDefault="00245375" w:rsidP="00F35366">
            <w:r>
              <w:t>Class</w:t>
            </w:r>
          </w:p>
        </w:tc>
      </w:tr>
      <w:tr w:rsidR="00245375" w:rsidTr="00245375">
        <w:tc>
          <w:tcPr>
            <w:tcW w:w="2310" w:type="dxa"/>
          </w:tcPr>
          <w:p w:rsidR="00245375" w:rsidRDefault="00245375" w:rsidP="00F35366">
            <w:r>
              <w:t>Attribute/association</w:t>
            </w:r>
          </w:p>
        </w:tc>
        <w:tc>
          <w:tcPr>
            <w:tcW w:w="2311" w:type="dxa"/>
          </w:tcPr>
          <w:p w:rsidR="00245375" w:rsidRDefault="00245375" w:rsidP="00F35366">
            <w:r>
              <w:t>Role</w:t>
            </w:r>
          </w:p>
        </w:tc>
        <w:tc>
          <w:tcPr>
            <w:tcW w:w="2311" w:type="dxa"/>
          </w:tcPr>
          <w:p w:rsidR="00245375" w:rsidRDefault="00245375" w:rsidP="00F35366">
            <w:r>
              <w:t>Property</w:t>
            </w:r>
          </w:p>
        </w:tc>
      </w:tr>
      <w:tr w:rsidR="00245375" w:rsidTr="00245375">
        <w:tc>
          <w:tcPr>
            <w:tcW w:w="2310" w:type="dxa"/>
          </w:tcPr>
          <w:p w:rsidR="00245375" w:rsidRDefault="00245375" w:rsidP="00F35366">
            <w:r>
              <w:t>Object</w:t>
            </w:r>
          </w:p>
        </w:tc>
        <w:tc>
          <w:tcPr>
            <w:tcW w:w="2311" w:type="dxa"/>
          </w:tcPr>
          <w:p w:rsidR="00245375" w:rsidRDefault="00245375" w:rsidP="00F35366">
            <w:r>
              <w:t>Individual</w:t>
            </w:r>
          </w:p>
        </w:tc>
        <w:tc>
          <w:tcPr>
            <w:tcW w:w="2311" w:type="dxa"/>
          </w:tcPr>
          <w:p w:rsidR="00245375" w:rsidRDefault="00245375" w:rsidP="00F35366">
            <w:r>
              <w:t>Individual</w:t>
            </w:r>
          </w:p>
        </w:tc>
      </w:tr>
    </w:tbl>
    <w:p w:rsidR="00961A8D" w:rsidRDefault="00961A8D" w:rsidP="00F35366"/>
    <w:sdt>
      <w:sdtPr>
        <w:id w:val="900635118"/>
        <w:docPartObj>
          <w:docPartGallery w:val="Bibliographies"/>
          <w:docPartUnique/>
        </w:docPartObj>
      </w:sdtPr>
      <w:sdtEndPr>
        <w:rPr>
          <w:rFonts w:asciiTheme="minorHAnsi" w:eastAsiaTheme="minorEastAsia" w:hAnsiTheme="minorHAnsi" w:cstheme="minorBidi"/>
          <w:color w:val="auto"/>
          <w:sz w:val="22"/>
          <w:szCs w:val="22"/>
        </w:rPr>
      </w:sdtEndPr>
      <w:sdtContent>
        <w:p w:rsidR="00CB7A24" w:rsidRDefault="00CB7A24">
          <w:pPr>
            <w:pStyle w:val="Heading1"/>
          </w:pPr>
          <w:r>
            <w:t>Works Cited</w:t>
          </w:r>
        </w:p>
        <w:p w:rsidR="00CB7A24" w:rsidRDefault="00CB7A2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CB7A24">
            <w:trPr>
              <w:divId w:val="73357355"/>
              <w:tblCellSpacing w:w="15" w:type="dxa"/>
            </w:trPr>
            <w:tc>
              <w:tcPr>
                <w:tcW w:w="50" w:type="pct"/>
                <w:hideMark/>
              </w:tcPr>
              <w:p w:rsidR="00CB7A24" w:rsidRDefault="00CB7A24">
                <w:pPr>
                  <w:pStyle w:val="Bibliography"/>
                  <w:rPr>
                    <w:noProof/>
                  </w:rPr>
                </w:pPr>
                <w:bookmarkStart w:id="0" w:name="_GoBack" w:colFirst="0" w:colLast="1"/>
                <w:r>
                  <w:rPr>
                    <w:noProof/>
                  </w:rPr>
                  <w:t xml:space="preserve">[1] </w:t>
                </w:r>
              </w:p>
            </w:tc>
            <w:tc>
              <w:tcPr>
                <w:tcW w:w="0" w:type="auto"/>
                <w:hideMark/>
              </w:tcPr>
              <w:p w:rsidR="00CB7A24" w:rsidRDefault="00CB7A24">
                <w:pPr>
                  <w:pStyle w:val="Bibliography"/>
                  <w:rPr>
                    <w:noProof/>
                  </w:rPr>
                </w:pPr>
                <w:r>
                  <w:rPr>
                    <w:noProof/>
                  </w:rPr>
                  <w:t xml:space="preserve">F. Baader, D. Calvanese, D. L. McGuinness, D. Nardi and P. F. Patel-Schneider, The Description Logic Handbook: Theory, Implementation and Applications, Cambridge University Press, 2007. </w:t>
                </w:r>
              </w:p>
            </w:tc>
          </w:tr>
          <w:bookmarkEnd w:id="0"/>
        </w:tbl>
        <w:p w:rsidR="00CB7A24" w:rsidRDefault="00CB7A24">
          <w:pPr>
            <w:divId w:val="73357355"/>
            <w:rPr>
              <w:rFonts w:eastAsia="Times New Roman"/>
              <w:noProof/>
            </w:rPr>
          </w:pPr>
        </w:p>
        <w:p w:rsidR="00CB7A24" w:rsidRDefault="00CB7A24">
          <w:r>
            <w:rPr>
              <w:b/>
              <w:bCs/>
            </w:rPr>
            <w:fldChar w:fldCharType="end"/>
          </w:r>
        </w:p>
      </w:sdtContent>
    </w:sdt>
    <w:p w:rsidR="00CB7A24" w:rsidRDefault="00CB7A24" w:rsidP="00F35366"/>
    <w:p w:rsidR="00961A8D" w:rsidRPr="009C43A6" w:rsidRDefault="00961A8D" w:rsidP="00F35366"/>
    <w:sectPr w:rsidR="00961A8D" w:rsidRPr="009C43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696"/>
    <w:rsid w:val="00062FCD"/>
    <w:rsid w:val="000F69DB"/>
    <w:rsid w:val="00245375"/>
    <w:rsid w:val="0031550D"/>
    <w:rsid w:val="00395696"/>
    <w:rsid w:val="00597914"/>
    <w:rsid w:val="00803E52"/>
    <w:rsid w:val="008A1875"/>
    <w:rsid w:val="00961002"/>
    <w:rsid w:val="00961A8D"/>
    <w:rsid w:val="009C43A6"/>
    <w:rsid w:val="00CB7A24"/>
    <w:rsid w:val="00EE1A15"/>
    <w:rsid w:val="00F353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6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69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61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002"/>
    <w:rPr>
      <w:rFonts w:ascii="Tahoma" w:hAnsi="Tahoma" w:cs="Tahoma"/>
      <w:sz w:val="16"/>
      <w:szCs w:val="16"/>
    </w:rPr>
  </w:style>
  <w:style w:type="table" w:styleId="TableGrid">
    <w:name w:val="Table Grid"/>
    <w:basedOn w:val="TableNormal"/>
    <w:uiPriority w:val="59"/>
    <w:rsid w:val="00245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B7A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6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69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61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002"/>
    <w:rPr>
      <w:rFonts w:ascii="Tahoma" w:hAnsi="Tahoma" w:cs="Tahoma"/>
      <w:sz w:val="16"/>
      <w:szCs w:val="16"/>
    </w:rPr>
  </w:style>
  <w:style w:type="table" w:styleId="TableGrid">
    <w:name w:val="Table Grid"/>
    <w:basedOn w:val="TableNormal"/>
    <w:uiPriority w:val="59"/>
    <w:rsid w:val="00245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B7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Baa071</b:Tag>
    <b:SourceType>Book</b:SourceType>
    <b:Guid>{3FD2B39B-DDF5-46B8-86B9-9733C7FD1E56}</b:Guid>
    <b:Title>The Description Logic Handbook: Theory, Implementation and Applications</b:Title>
    <b:Year>2007</b:Year>
    <b:Publisher>Cambridge University Press</b:Publisher>
    <b:Author>
      <b:Author>
        <b:NameList>
          <b:Person>
            <b:Last>Baader</b:Last>
            <b:First>F.</b:First>
          </b:Person>
          <b:Person>
            <b:Last>Calvanese</b:Last>
            <b:First>D.</b:First>
          </b:Person>
          <b:Person>
            <b:Last>McGuinness</b:Last>
            <b:First>D. L.</b:First>
          </b:Person>
          <b:Person>
            <b:Last>Nardi</b:Last>
            <b:First>D.</b:First>
          </b:Person>
          <b:Person>
            <b:Last>Patel-Schneider</b:Last>
            <b:First>P. F.</b:First>
          </b:Person>
        </b:NameList>
      </b:Author>
    </b:Author>
    <b:RefOrder>1</b:RefOrder>
  </b:Source>
</b:Sources>
</file>

<file path=customXml/itemProps1.xml><?xml version="1.0" encoding="utf-8"?>
<ds:datastoreItem xmlns:ds="http://schemas.openxmlformats.org/officeDocument/2006/customXml" ds:itemID="{EC0AB360-6F9F-4676-86DE-52BCE3B9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Henriette Harmse</dc:creator>
  <cp:lastModifiedBy>Henriette Harmse</cp:lastModifiedBy>
  <cp:revision>9</cp:revision>
  <dcterms:created xsi:type="dcterms:W3CDTF">2017-09-09T08:06:00Z</dcterms:created>
  <dcterms:modified xsi:type="dcterms:W3CDTF">2017-09-09T12:59:00Z</dcterms:modified>
</cp:coreProperties>
</file>