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b w:val="1"/>
          <w:color w:val="06234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234d"/>
          <w:sz w:val="28"/>
          <w:szCs w:val="28"/>
          <w:highlight w:val="white"/>
          <w:rtl w:val="0"/>
        </w:rPr>
        <w:t xml:space="preserve">Relational SQL Database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234d"/>
          <w:sz w:val="24"/>
          <w:szCs w:val="24"/>
          <w:highlight w:val="white"/>
          <w:rtl w:val="0"/>
        </w:rPr>
        <w:t xml:space="preserve">Kirtana Pathak (kp4hj), Vinh Do (vtd4bc), Liem Budzien (lb7me)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b w:val="1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234d"/>
          <w:sz w:val="24"/>
          <w:szCs w:val="24"/>
          <w:highlight w:val="white"/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drawings(imgURL text, username VARCHAR(30), prompt VARCHAR(255), guess VARCHAR (255))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Holds a URL of the image as a text object, username of the account, prompt from the game, and the final guess, all as VARCHAR’s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Info is retrieved on the profile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Username is a foreign key to the register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The primary key is made of every attribute because it is possible that a single user can play the exact same game over again, but with only one differing attribute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register(username VARCHAR(30), password VARCHAR(30)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Stores user account information and allows for multiple sessions and for users to come back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Username and Password cannot be null and must consist of only alphanumeric characters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  <w:rtl w:val="0"/>
        </w:rPr>
        <w:t xml:space="preserve">Username is the primary key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34d"/>
          <w:sz w:val="24"/>
          <w:szCs w:val="24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