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Sổ tay quán cà phê sạch</w:t>
      </w:r>
    </w:p>
    <w:p>
      <w:pPr>
        <w:jc w:val="center"/>
      </w:pPr>
      <w:r>
        <w:rPr>
          <w:i/>
          <w:sz w:val="22"/>
        </w:rPr>
        <w:t>Ghi chú vận hành ngắn gọn cho mô hình quán nhỏ.</w:t>
      </w:r>
    </w:p>
    <w:p>
      <w:pPr>
        <w:pStyle w:val="Heading1"/>
      </w:pPr>
      <w:r>
        <w:t>Tóm tắt nhanh</w:t>
      </w:r>
    </w:p>
    <w:p>
      <w:r>
        <w:t>Quán cà phê sạch chú trọng nguồn hạt rõ ràng, quy trình pha chế ổn định và trải nghiệm khách hàng thân thiện. Tài liệu này mô tả cách quản lý nguyên liệu, phục vụ và ghi nhận phản hồi.</w:t>
      </w:r>
    </w:p>
    <w:p>
      <w:pPr>
        <w:pStyle w:val="Heading1"/>
      </w:pPr>
      <w:r>
        <w:t>Nguyên liệu</w:t>
      </w:r>
    </w:p>
    <w:p>
      <w:r>
        <w:t>Hạt cà phê được nhập theo lô nhỏ, có ngày rang và ghi chú hương vị. Sữa, syrup và topping cần được kiểm tra hạn sử dụng hằng ngày.</w:t>
      </w:r>
    </w:p>
    <w:p>
      <w:pPr>
        <w:pStyle w:val="ListBullet"/>
      </w:pPr>
      <w:r>
        <w:t>Mỗi túi hạt phải có mã lô.</w:t>
      </w:r>
    </w:p>
    <w:p>
      <w:pPr>
        <w:pStyle w:val="ListBullet"/>
      </w:pPr>
      <w:r>
        <w:t>Không trộn hạt cũ với hạt mới trong cùng hũ.</w:t>
      </w:r>
    </w:p>
    <w:p>
      <w:pPr>
        <w:pStyle w:val="ListBullet"/>
      </w:pPr>
      <w:r>
        <w:t>Ghi nhận hao hụt cuối ca.</w:t>
      </w:r>
    </w:p>
    <w:p>
      <w:pPr>
        <w:pStyle w:val="Heading1"/>
      </w:pPr>
      <w:r>
        <w:t>Phục vụ</w:t>
      </w:r>
    </w:p>
    <w:p>
      <w:r>
        <w:t>Nhân viên chào khách trong 10 giây đầu, xác nhận đơn trước khi pha và thông báo thời gian chờ nếu quán đông.</w:t>
      </w:r>
    </w:p>
    <w:p>
      <w:pPr>
        <w:pStyle w:val="ListBullet"/>
      </w:pPr>
      <w:r>
        <w:t>Luôn đọc lại size, loại sữa và lượng đá.</w:t>
      </w:r>
    </w:p>
    <w:p>
      <w:pPr>
        <w:pStyle w:val="ListBullet"/>
      </w:pPr>
      <w:r>
        <w:t>Ưu tiên đơn mang đi vào khung giờ cao điểm.</w:t>
      </w:r>
    </w:p>
    <w:p>
      <w:pPr>
        <w:pStyle w:val="ListBullet"/>
      </w:pPr>
      <w:r>
        <w:t>Xin lỗi và đổi món khi đồ uống sai công thức.</w:t>
      </w:r>
    </w:p>
    <w:p>
      <w:pPr>
        <w:pStyle w:val="Heading1"/>
      </w:pPr>
      <w:r>
        <w:t>Kiểm soát chất lượng</w:t>
      </w:r>
    </w:p>
    <w:p>
      <w:r>
        <w:t>Mỗi ca cần thử espresso đầu ngày, kiểm tra nhiệt độ sữa và vệ sinh máy xay. Các lỗi được ghi vào sổ ca để trưởng ca theo dõi.</w:t>
      </w:r>
    </w:p>
    <w:p>
      <w:pPr>
        <w:pStyle w:val="ListBullet"/>
      </w:pPr>
      <w:r>
        <w:t>Kiểm tra vị espresso trước 8 giờ.</w:t>
      </w:r>
    </w:p>
    <w:p>
      <w:pPr>
        <w:pStyle w:val="ListBullet"/>
      </w:pPr>
      <w:r>
        <w:t>Vệ sinh vòi hơi sau mỗi lần đánh sữa.</w:t>
      </w:r>
    </w:p>
    <w:p>
      <w:pPr>
        <w:pStyle w:val="ListBullet"/>
      </w:pPr>
      <w:r>
        <w:t>Gửi báo cáo phản hồi mỗi ngày.</w:t>
      </w:r>
    </w:p>
    <w:p>
      <w:pPr>
        <w:pStyle w:val="Heading1"/>
      </w:pPr>
      <w:r>
        <w:t>Bảng ghi chú triển khai</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Khu vực</w:t>
            </w:r>
          </w:p>
        </w:tc>
        <w:tc>
          <w:tcPr>
            <w:tcW w:type="dxa" w:w="2520"/>
            <w:shd w:fill="D9EAF7"/>
          </w:tcPr>
          <w:p>
            <w:r>
              <w:rPr>
                <w:b/>
              </w:rPr>
              <w:t>Tần suất</w:t>
            </w:r>
          </w:p>
        </w:tc>
        <w:tc>
          <w:tcPr>
            <w:tcW w:type="dxa" w:w="2520"/>
            <w:shd w:fill="D9EAF7"/>
          </w:tcPr>
          <w:p>
            <w:r>
              <w:rPr>
                <w:b/>
              </w:rPr>
              <w:t>Tiêu chuẩn</w:t>
            </w:r>
          </w:p>
        </w:tc>
        <w:tc>
          <w:tcPr>
            <w:tcW w:type="dxa" w:w="2520"/>
            <w:shd w:fill="D9EAF7"/>
          </w:tcPr>
          <w:p>
            <w:r>
              <w:rPr>
                <w:b/>
              </w:rPr>
              <w:t>Ghi chú</w:t>
            </w:r>
          </w:p>
        </w:tc>
      </w:tr>
      <w:tr>
        <w:tc>
          <w:tcPr>
            <w:tcW w:type="dxa" w:w="2520"/>
          </w:tcPr>
          <w:p>
            <w:r>
              <w:t>Máy pha</w:t>
            </w:r>
          </w:p>
        </w:tc>
        <w:tc>
          <w:tcPr>
            <w:tcW w:type="dxa" w:w="2520"/>
          </w:tcPr>
          <w:p>
            <w:r>
              <w:t>Mỗi ca</w:t>
            </w:r>
          </w:p>
        </w:tc>
        <w:tc>
          <w:tcPr>
            <w:tcW w:type="dxa" w:w="2520"/>
          </w:tcPr>
          <w:p>
            <w:r>
              <w:t>Sạch, không cặn</w:t>
            </w:r>
          </w:p>
        </w:tc>
        <w:tc>
          <w:tcPr>
            <w:tcW w:type="dxa" w:w="2520"/>
          </w:tcPr>
          <w:p>
            <w:r>
              <w:t>Kiểm tra trước mở bán</w:t>
            </w:r>
          </w:p>
        </w:tc>
      </w:tr>
      <w:tr>
        <w:tc>
          <w:tcPr>
            <w:tcW w:type="dxa" w:w="2520"/>
          </w:tcPr>
          <w:p>
            <w:r>
              <w:t>Quầy bar</w:t>
            </w:r>
          </w:p>
        </w:tc>
        <w:tc>
          <w:tcPr>
            <w:tcW w:type="dxa" w:w="2520"/>
          </w:tcPr>
          <w:p>
            <w:r>
              <w:t>2 giờ/lần</w:t>
            </w:r>
          </w:p>
        </w:tc>
        <w:tc>
          <w:tcPr>
            <w:tcW w:type="dxa" w:w="2520"/>
          </w:tcPr>
          <w:p>
            <w:r>
              <w:t>Khô, gọn</w:t>
            </w:r>
          </w:p>
        </w:tc>
        <w:tc>
          <w:tcPr>
            <w:tcW w:type="dxa" w:w="2520"/>
          </w:tcPr>
          <w:p>
            <w:r>
              <w:t>Bổ sung khăn sạch</w:t>
            </w:r>
          </w:p>
        </w:tc>
      </w:tr>
      <w:tr>
        <w:tc>
          <w:tcPr>
            <w:tcW w:type="dxa" w:w="2520"/>
          </w:tcPr>
          <w:p>
            <w:r>
              <w:t>Kho nguyên liệu</w:t>
            </w:r>
          </w:p>
        </w:tc>
        <w:tc>
          <w:tcPr>
            <w:tcW w:type="dxa" w:w="2520"/>
          </w:tcPr>
          <w:p>
            <w:r>
              <w:t>Hằng ngày</w:t>
            </w:r>
          </w:p>
        </w:tc>
        <w:tc>
          <w:tcPr>
            <w:tcW w:type="dxa" w:w="2520"/>
          </w:tcPr>
          <w:p>
            <w:r>
              <w:t>Không hết hạn</w:t>
            </w:r>
          </w:p>
        </w:tc>
        <w:tc>
          <w:tcPr>
            <w:tcW w:type="dxa" w:w="2520"/>
          </w:tcPr>
          <w:p>
            <w:r>
              <w:t>Ghi nhận tồn kho</w:t>
            </w:r>
          </w:p>
        </w:tc>
      </w:tr>
    </w:tbl>
    <w:p>
      <w:pPr>
        <w:pStyle w:val="Heading1"/>
      </w:pPr>
      <w:r>
        <w:t>Kết luận</w:t>
      </w:r>
    </w:p>
    <w:p>
      <w:r>
        <w:t>Tài liệu này được tạo để phục vụ kiểm thử đọc hiểu tài liệu, trích xuất bảng, nhận diện tiêu đề và kiểm tra khả năng trả lời theo ngữ cảnh của AI chatbot.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