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Third-Party Form Examples</w:t>
      </w:r>
    </w:p>
    <w:p>
      <w:pPr>
        <w:spacing w:after="280"/>
      </w:pPr>
      <w:r>
        <w:rPr>
          <w:color w:val="5B554A"/>
          <w:sz w:val="26"/>
          <w:szCs w:val="26"/>
        </w:rPr>
        <w:t xml:space="preserve">BYDA Enquiry &amp; LEI Inspection Booking — grounded templates for Site Ahead</w:t>
      </w:r>
    </w:p>
    <w:p>
      <w:pPr>
        <w:spacing w:after="160"/>
      </w:pPr>
      <w:r>
        <w:t xml:space="preserve">This document exists to make the "Third-Party Request" category concrete for the two job types in the 24-hour build: Excavation &amp; Trenching and Electrical Work. For each, it covers where the request actually goes, exactly what fields are needed, and how to fill them, so Site Ahead’s draft is something a human can send with minimal editing rather than a guess.</w:t>
      </w:r>
    </w:p>
    <w:p>
      <w:pPr>
        <w:spacing w:after="160"/>
      </w:pPr>
      <w:r>
        <w:rPr>
          <w:i/>
          <w:iCs/>
          <w:color w:val="5B554A"/>
        </w:rPr>
        <w:t xml:space="preserve">Methodology note, because accuracy matters here: the BYDA section is grounded directly in BYDA’s own published help centre and API specification — the field names, types and format rules below are copied faithfully from those sources (linked at the end of each section). The filled-in example values use Site Ahead’s fictional demo contractor, Ironbark Site Services, since the build uses fully mocked data — they are not a real submission. The electrical section is different in kind: no standardised public booking form for a Licensed Electrical Inspector exists anywhere that was found, so that section says so plainly and builds its example from the specific facts Energy Safe Victoria’s own rules require to be communicated, rather than presenting an invented template as if it were official.</w:t>
      </w:r>
    </w:p>
    <w:p>
      <w:r>
        <w:br w:type="page"/>
      </w:r>
    </w:p>
    <w:p>
      <w:pPr>
        <w:pStyle w:val="Heading1"/>
        <w:spacing w:after="160" w:before="320"/>
      </w:pPr>
      <w:r>
        <w:t xml:space="preserve">1. BYDA Enquiry — Excavation &amp; Trenching</w:t>
      </w:r>
    </w:p>
    <w:p>
      <w:pPr>
        <w:pStyle w:val="Heading2"/>
        <w:spacing w:after="120" w:before="240"/>
      </w:pPr>
      <w:r>
        <w:t xml:space="preserve">Where it fits</w:t>
      </w:r>
    </w:p>
    <w:p>
      <w:pPr>
        <w:spacing w:after="160"/>
      </w:pPr>
      <w:r>
        <w:t xml:space="preserve">Of the checklist items for Excavation &amp; Trenching, BYDA is the one genuine Third-Party Request: it goes to an outside party (asset owners, via BYDA’s referral service) and comes back with information the contractor didn’t have. The SWMS and depth-confirmation items stay On-Site / internal — the contractor’s own document, never submitted anywhere.</w:t>
      </w:r>
    </w:p>
    <w:p>
      <w:pPr>
        <w:pStyle w:val="Heading2"/>
        <w:spacing w:after="120" w:before="240"/>
      </w:pPr>
      <w:r>
        <w:t xml:space="preserve">Where it’s actually submitted</w:t>
      </w:r>
    </w:p>
    <w:p>
      <w:pPr>
        <w:spacing w:after="160"/>
      </w:pPr>
      <w:r>
        <w:t xml:space="preserve">BYDA has no public, un-gated API — the field names below come from BYDA’s documented Direct/UI-Assisted integration, which is only available to registered developer accounts under a separate agreement. For a hackathon build the honest flow is: Site Ahead prepares every field value, and a human logs into byda.com.au (or the BYDA app) with their own individual account and lodges it — BYDA enquiries are tied to individual user accounts, not shared inboxes, so the agent cannot submit on the contractor’s behalf.</w:t>
      </w:r>
    </w:p>
    <w:tbl>
      <w:tblPr>
        <w:tblW w:type="dxa" w:w="9350"/>
        <w:tblBorders>
          <w:top w:val="single" w:color="C98A2C" w:sz="4"/>
          <w:left w:val="single" w:color="C98A2C" w:sz="24"/>
          <w:bottom w:val="single" w:color="C98A2C" w:sz="4"/>
          <w:right w:val="none" w:color="FFFFFF" w:sz="0"/>
          <w:insideH w:val="single" w:color="auto" w:sz="4"/>
          <w:insideV w:val="single" w:color="auto" w:sz="4"/>
        </w:tblBorders>
      </w:tblPr>
      <w:tblGrid>
        <w:gridCol w:w="9350"/>
      </w:tblGrid>
      <w:tr>
        <w:tc>
          <w:tcPr>
            <w:tcW w:type="dxa" w:w="9350"/>
            <w:shd w:fill="FBF3DF" w:val="clear"/>
            <w:tcMar>
              <w:top w:type="dxa" w:w="120"/>
              <w:left w:type="dxa" w:w="180"/>
              <w:bottom w:type="dxa" w:w="120"/>
              <w:right w:type="dxa" w:w="180"/>
            </w:tcMar>
          </w:tcPr>
          <w:p>
            <w:r>
              <w:rPr>
                <w:b/>
                <w:bCs/>
                <w:color w:val="8A5A12"/>
              </w:rPr>
              <w:t xml:space="preserve">Submission target: </w:t>
            </w:r>
            <w:r>
              <w:rPr>
                <w:color w:val="54452A"/>
              </w:rPr>
              <w:t xml:space="preserve">BYDA online portal (byda.com.au) or the BYDA mobile app — lodged by a human, from Site Ahead’s drafted field values.</w:t>
            </w:r>
          </w:p>
        </w:tc>
      </w:tr>
    </w:tbl>
    <w:p>
      <w:pPr>
        <w:spacing w:after="60"/>
      </w:pPr>
    </w:p>
    <w:p>
      <w:pPr>
        <w:pStyle w:val="Heading2"/>
        <w:spacing w:after="120" w:before="240"/>
      </w:pPr>
      <w:r>
        <w:t xml:space="preserve">Field-by-field template</w:t>
      </w:r>
    </w:p>
    <w:p>
      <w:pPr>
        <w:spacing w:after="160"/>
      </w:pPr>
      <w:r>
        <w:t xml:space="preserve">Each row gives BYDA’s own on-screen label, the matching field name from BYDA’s enquiry API specification (shown in brackets, for precision), and how Site Ahead should decide the value.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F1B16" w:val="clear"/>
            <w:tcMar>
              <w:top w:type="dxa" w:w="80"/>
              <w:left w:type="dxa" w:w="120"/>
              <w:bottom w:type="dxa" w:w="80"/>
              <w:right w:type="dxa" w:w="120"/>
            </w:tcMar>
          </w:tcPr>
          <w:p>
            <w:r>
              <w:rPr>
                <w:b/>
                <w:bCs/>
                <w:color w:val="FFFFFF"/>
              </w:rPr>
              <w:t xml:space="preserve">Field</w:t>
            </w:r>
          </w:p>
        </w:tc>
        <w:tc>
          <w:tcPr>
            <w:tcW w:type="dxa" w:w="6250"/>
            <w:shd w:fill="1F1B16" w:val="clear"/>
            <w:tcMar>
              <w:top w:type="dxa" w:w="80"/>
              <w:left w:type="dxa" w:w="120"/>
              <w:bottom w:type="dxa" w:w="80"/>
              <w:right w:type="dxa" w:w="120"/>
            </w:tcMar>
          </w:tcPr>
          <w:p>
            <w:r>
              <w:rPr>
                <w:b/>
                <w:bCs/>
                <w:color w:val="FFFFFF"/>
              </w:rPr>
              <w:t xml:space="preserve">What to fill in / guidance</w:t>
            </w:r>
          </w:p>
        </w:tc>
      </w:tr>
      <w:tr>
        <w:trPr>
          <w:cantSplit/>
        </w:trPr>
        <w:tc>
          <w:tcPr>
            <w:tcW w:type="dxa" w:w="3100"/>
            <w:shd w:fill="F4F2EE" w:val="clear"/>
            <w:tcMar>
              <w:top w:type="dxa" w:w="80"/>
              <w:left w:type="dxa" w:w="120"/>
              <w:bottom w:type="dxa" w:w="80"/>
              <w:right w:type="dxa" w:w="120"/>
            </w:tcMar>
          </w:tcPr>
          <w:p>
            <w:r>
              <w:rPr>
                <w:b/>
                <w:bCs/>
              </w:rPr>
              <w:t xml:space="preserve">Job site location &amp; boundary
(Finding/Drawing your job site — API: Address, shape)</w:t>
            </w:r>
          </w:p>
        </w:tc>
        <w:tc>
          <w:tcPr>
            <w:tcW w:type="dxa" w:w="6250"/>
            <w:shd w:fill="F4F2EE" w:val="clear"/>
            <w:tcMar>
              <w:top w:type="dxa" w:w="80"/>
              <w:left w:type="dxa" w:w="120"/>
              <w:bottom w:type="dxa" w:w="80"/>
              <w:right w:type="dxa" w:w="120"/>
            </w:tcMar>
          </w:tcPr>
          <w:p>
            <w:r>
              <w:t xml:space="preserve">Draw the boundary tightly around the actual trench line plus a safety margin, not the whole property — this is what determines which asset owners get notified. For a linear dig, BYDA’s Line tool auto-buffers 10m either side, which fits a trench better than a wide box. The approximate street address is calculated automatically from the centre of the drawing.</w:t>
            </w:r>
          </w:p>
        </w:tc>
      </w:tr>
      <w:tr>
        <w:trPr>
          <w:cantSplit/>
        </w:trPr>
        <w:tc>
          <w:tcPr>
            <w:tcW w:type="dxa" w:w="3100"/>
            <w:shd w:fill="FFFFFF" w:val="clear"/>
            <w:tcMar>
              <w:top w:type="dxa" w:w="80"/>
              <w:left w:type="dxa" w:w="120"/>
              <w:bottom w:type="dxa" w:w="80"/>
              <w:right w:type="dxa" w:w="120"/>
            </w:tcMar>
          </w:tcPr>
          <w:p>
            <w:r>
              <w:rPr>
                <w:b/>
                <w:bCs/>
              </w:rPr>
              <w:t xml:space="preserve">Work locations
(API: locationTypes — "Road Reserve" and/or "Private", at least one required)</w:t>
            </w:r>
          </w:p>
        </w:tc>
        <w:tc>
          <w:tcPr>
            <w:tcW w:type="dxa" w:w="6250"/>
            <w:shd w:fill="FFFFFF" w:val="clear"/>
            <w:tcMar>
              <w:top w:type="dxa" w:w="80"/>
              <w:left w:type="dxa" w:w="120"/>
              <w:bottom w:type="dxa" w:w="80"/>
              <w:right w:type="dxa" w:w="120"/>
            </w:tcMar>
          </w:tcPr>
          <w:p>
            <w:r>
              <w:t xml:space="preserve">Select "Private" if the trench stays entirely on the client’s land. Add "Road Reserve" if it crosses council land — this also signals whether the separate road-reserve/Traffic Management permit item should trigger for this job.</w:t>
            </w:r>
          </w:p>
        </w:tc>
      </w:tr>
      <w:tr>
        <w:trPr>
          <w:cantSplit/>
        </w:trPr>
        <w:tc>
          <w:tcPr>
            <w:tcW w:type="dxa" w:w="3100"/>
            <w:shd w:fill="F4F2EE" w:val="clear"/>
            <w:tcMar>
              <w:top w:type="dxa" w:w="80"/>
              <w:left w:type="dxa" w:w="120"/>
              <w:bottom w:type="dxa" w:w="80"/>
              <w:right w:type="dxa" w:w="120"/>
            </w:tcMar>
          </w:tcPr>
          <w:p>
            <w:r>
              <w:rPr>
                <w:b/>
                <w:bCs/>
              </w:rPr>
              <w:t xml:space="preserve">Location within road
(API: locationsInRoad — "Road", "Nature Strip", "Footpath")</w:t>
            </w:r>
          </w:p>
        </w:tc>
        <w:tc>
          <w:tcPr>
            <w:tcW w:type="dxa" w:w="6250"/>
            <w:shd w:fill="F4F2EE" w:val="clear"/>
            <w:tcMar>
              <w:top w:type="dxa" w:w="80"/>
              <w:left w:type="dxa" w:w="120"/>
              <w:bottom w:type="dxa" w:w="80"/>
              <w:right w:type="dxa" w:w="120"/>
            </w:tcMar>
          </w:tcPr>
          <w:p>
            <w:r>
              <w:t xml:space="preserve">Only relevant if "Road Reserve" was selected above. Pick every strip of council land the trench actually crosses.</w:t>
            </w:r>
          </w:p>
        </w:tc>
      </w:tr>
      <w:tr>
        <w:trPr>
          <w:cantSplit/>
        </w:trPr>
        <w:tc>
          <w:tcPr>
            <w:tcW w:type="dxa" w:w="3100"/>
            <w:shd w:fill="FFFFFF" w:val="clear"/>
            <w:tcMar>
              <w:top w:type="dxa" w:w="80"/>
              <w:left w:type="dxa" w:w="120"/>
              <w:bottom w:type="dxa" w:w="80"/>
              <w:right w:type="dxa" w:w="120"/>
            </w:tcMar>
          </w:tcPr>
          <w:p>
            <w:r>
              <w:rPr>
                <w:b/>
                <w:bCs/>
              </w:rPr>
              <w:t xml:space="preserve">Job dates
(API: digStartAt, digEndAt — ISO 8601; start no earlier than today, end no earlier than start)</w:t>
            </w:r>
          </w:p>
        </w:tc>
        <w:tc>
          <w:tcPr>
            <w:tcW w:type="dxa" w:w="6250"/>
            <w:shd w:fill="FFFFFF" w:val="clear"/>
            <w:tcMar>
              <w:top w:type="dxa" w:w="80"/>
              <w:left w:type="dxa" w:w="120"/>
              <w:bottom w:type="dxa" w:w="80"/>
              <w:right w:type="dxa" w:w="120"/>
            </w:tcMar>
          </w:tcPr>
          <w:p>
            <w:r>
              <w:t xml:space="preserve">Use the client’s actual planned dig window, kept as tight as possible. A job spanning more than 28 days needs an explicit auto-renew decision — flag this rather than silently extending the enquiry.</w:t>
            </w:r>
          </w:p>
        </w:tc>
      </w:tr>
      <w:tr>
        <w:trPr>
          <w:cantSplit/>
        </w:trPr>
        <w:tc>
          <w:tcPr>
            <w:tcW w:type="dxa" w:w="3100"/>
            <w:shd w:fill="F4F2EE" w:val="clear"/>
            <w:tcMar>
              <w:top w:type="dxa" w:w="80"/>
              <w:left w:type="dxa" w:w="120"/>
              <w:bottom w:type="dxa" w:w="80"/>
              <w:right w:type="dxa" w:w="120"/>
            </w:tcMar>
          </w:tcPr>
          <w:p>
            <w:r>
              <w:rPr>
                <w:b/>
                <w:bCs/>
              </w:rPr>
              <w:t xml:space="preserve">Enquiry type
(API: isPlanningJob — boolean)</w:t>
            </w:r>
          </w:p>
        </w:tc>
        <w:tc>
          <w:tcPr>
            <w:tcW w:type="dxa" w:w="6250"/>
            <w:shd w:fill="F4F2EE" w:val="clear"/>
            <w:tcMar>
              <w:top w:type="dxa" w:w="80"/>
              <w:left w:type="dxa" w:w="120"/>
              <w:bottom w:type="dxa" w:w="80"/>
              <w:right w:type="dxa" w:w="120"/>
            </w:tcMar>
          </w:tcPr>
          <w:p>
            <w:r>
              <w:t xml:space="preserve">Set to Excavation (false) once a firm dig date exists. Only use Planning/Design (true) for an earlier feasibility check before a date is locked in.</w:t>
            </w:r>
          </w:p>
        </w:tc>
      </w:tr>
      <w:tr>
        <w:trPr>
          <w:cantSplit/>
        </w:trPr>
        <w:tc>
          <w:tcPr>
            <w:tcW w:type="dxa" w:w="3100"/>
            <w:shd w:fill="FFFFFF" w:val="clear"/>
            <w:tcMar>
              <w:top w:type="dxa" w:w="80"/>
              <w:left w:type="dxa" w:w="120"/>
              <w:bottom w:type="dxa" w:w="80"/>
              <w:right w:type="dxa" w:w="120"/>
            </w:tcMar>
          </w:tcPr>
          <w:p>
            <w:r>
              <w:rPr>
                <w:b/>
                <w:bCs/>
              </w:rPr>
              <w:t xml:space="preserve">Activity types
(API: activityTypes — drawn from the excavation activity list; confirmed values include MANUAL_EXCAVATION, MECHANICAL_EXCAVATION, HORIZ_BORING, VERTICAL_BORING)</w:t>
            </w:r>
          </w:p>
        </w:tc>
        <w:tc>
          <w:tcPr>
            <w:tcW w:type="dxa" w:w="6250"/>
            <w:shd w:fill="FFFFFF" w:val="clear"/>
            <w:tcMar>
              <w:top w:type="dxa" w:w="80"/>
              <w:left w:type="dxa" w:w="120"/>
              <w:bottom w:type="dxa" w:w="80"/>
              <w:right w:type="dxa" w:w="120"/>
            </w:tcMar>
          </w:tcPr>
          <w:p>
            <w:r>
              <w:t xml:space="preserve">Match the real method — MECHANICAL_EXCAVATION for excavator-dug trenching, MANUAL_EXCAVATION for hand-dug potholing near known assets. Asset owners use this to judge strike risk, so it should reflect the actual plan, not a default.</w:t>
            </w:r>
          </w:p>
        </w:tc>
      </w:tr>
      <w:tr>
        <w:trPr>
          <w:cantSplit/>
        </w:trPr>
        <w:tc>
          <w:tcPr>
            <w:tcW w:type="dxa" w:w="3100"/>
            <w:shd w:fill="F4F2EE" w:val="clear"/>
            <w:tcMar>
              <w:top w:type="dxa" w:w="80"/>
              <w:left w:type="dxa" w:w="120"/>
              <w:bottom w:type="dxa" w:w="80"/>
              <w:right w:type="dxa" w:w="120"/>
            </w:tcMar>
          </w:tcPr>
          <w:p>
            <w:r>
              <w:rPr>
                <w:b/>
                <w:bCs/>
              </w:rPr>
              <w:t xml:space="preserve">Working on behalf of
(API: authorityId or otherAuthorityName, max 100 characters)</w:t>
            </w:r>
          </w:p>
        </w:tc>
        <w:tc>
          <w:tcPr>
            <w:tcW w:type="dxa" w:w="6250"/>
            <w:shd w:fill="F4F2EE" w:val="clear"/>
            <w:tcMar>
              <w:top w:type="dxa" w:w="80"/>
              <w:left w:type="dxa" w:w="120"/>
              <w:bottom w:type="dxa" w:w="80"/>
              <w:right w:type="dxa" w:w="120"/>
            </w:tcMar>
          </w:tcPr>
          <w:p>
            <w:r>
              <w:t xml:space="preserve">Ironbark Site Services is not a BYDA member utility, so use the free-text field with the client’s name or a plain description such as "Private residential client."</w:t>
            </w:r>
          </w:p>
        </w:tc>
      </w:tr>
      <w:tr>
        <w:trPr>
          <w:cantSplit/>
        </w:trPr>
        <w:tc>
          <w:tcPr>
            <w:tcW w:type="dxa" w:w="3100"/>
            <w:shd w:fill="FFFFFF" w:val="clear"/>
            <w:tcMar>
              <w:top w:type="dxa" w:w="80"/>
              <w:left w:type="dxa" w:w="120"/>
              <w:bottom w:type="dxa" w:w="80"/>
              <w:right w:type="dxa" w:w="120"/>
            </w:tcMar>
          </w:tcPr>
          <w:p>
            <w:r>
              <w:rPr>
                <w:b/>
                <w:bCs/>
              </w:rPr>
              <w:t xml:space="preserve">Your reference
(API: userReference, optional, max 100 characters)</w:t>
            </w:r>
          </w:p>
        </w:tc>
        <w:tc>
          <w:tcPr>
            <w:tcW w:type="dxa" w:w="6250"/>
            <w:shd w:fill="FFFFFF" w:val="clear"/>
            <w:tcMar>
              <w:top w:type="dxa" w:w="80"/>
              <w:left w:type="dxa" w:w="120"/>
              <w:bottom w:type="dxa" w:w="80"/>
              <w:right w:type="dxa" w:w="120"/>
            </w:tcMar>
          </w:tcPr>
          <w:p>
            <w:r>
              <w:t xml:space="preserve">Put Site Ahead’s internal job ID or address shorthand here — it is echoed back on the enquiry, which is what lets an incoming asset-owner reply be matched to the right checklist item.</w:t>
            </w:r>
          </w:p>
        </w:tc>
      </w:tr>
      <w:tr>
        <w:trPr>
          <w:cantSplit/>
        </w:trPr>
        <w:tc>
          <w:tcPr>
            <w:tcW w:type="dxa" w:w="3100"/>
            <w:shd w:fill="F4F2EE" w:val="clear"/>
            <w:tcMar>
              <w:top w:type="dxa" w:w="80"/>
              <w:left w:type="dxa" w:w="120"/>
              <w:bottom w:type="dxa" w:w="80"/>
              <w:right w:type="dxa" w:w="120"/>
            </w:tcMar>
          </w:tcPr>
          <w:p>
            <w:r>
              <w:rPr>
                <w:b/>
                <w:bCs/>
              </w:rPr>
              <w:t xml:space="preserve">Notes
(API: notes, optional, max 500 characters)</w:t>
            </w:r>
          </w:p>
        </w:tc>
        <w:tc>
          <w:tcPr>
            <w:tcW w:type="dxa" w:w="6250"/>
            <w:shd w:fill="F4F2EE" w:val="clear"/>
            <w:tcMar>
              <w:top w:type="dxa" w:w="80"/>
              <w:left w:type="dxa" w:w="120"/>
              <w:bottom w:type="dxa" w:w="80"/>
              <w:right w:type="dxa" w:w="120"/>
            </w:tcMar>
          </w:tcPr>
          <w:p>
            <w:r>
              <w:t xml:space="preserve">A short plain-English description for asset owners: what’s being installed, approximate dimensions and depth.</w:t>
            </w:r>
          </w:p>
        </w:tc>
      </w:tr>
      <w:tr>
        <w:trPr>
          <w:cantSplit/>
        </w:trPr>
        <w:tc>
          <w:tcPr>
            <w:tcW w:type="dxa" w:w="3100"/>
            <w:shd w:fill="FFFFFF" w:val="clear"/>
            <w:tcMar>
              <w:top w:type="dxa" w:w="80"/>
              <w:left w:type="dxa" w:w="120"/>
              <w:bottom w:type="dxa" w:w="80"/>
              <w:right w:type="dxa" w:w="120"/>
            </w:tcMar>
          </w:tcPr>
          <w:p>
            <w:r>
              <w:rPr>
                <w:b/>
                <w:bCs/>
              </w:rPr>
              <w:t xml:space="preserve">Contact details</w:t>
            </w:r>
          </w:p>
        </w:tc>
        <w:tc>
          <w:tcPr>
            <w:tcW w:type="dxa" w:w="6250"/>
            <w:shd w:fill="FFFFFF" w:val="clear"/>
            <w:tcMar>
              <w:top w:type="dxa" w:w="80"/>
              <w:left w:type="dxa" w:w="120"/>
              <w:bottom w:type="dxa" w:w="80"/>
              <w:right w:type="dxa" w:w="120"/>
            </w:tcMar>
          </w:tcPr>
          <w:p>
            <w:r>
              <w:t xml:space="preserve">Captured once on the BYDA user profile at first use (address, phone) — not re-entered per job.</w:t>
            </w:r>
          </w:p>
        </w:tc>
      </w:tr>
    </w:tbl>
    <w:p>
      <w:pPr>
        <w:spacing w:after="60"/>
      </w:pPr>
    </w:p>
    <w:p>
      <w:pPr>
        <w:pStyle w:val="Heading2"/>
        <w:spacing w:after="120" w:before="240"/>
      </w:pPr>
      <w:r>
        <w:t xml:space="preserve">Worked example (mocked demo data, not a real submission)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8A5A12" w:val="clear"/>
            <w:tcMar>
              <w:top w:type="dxa" w:w="80"/>
              <w:left w:type="dxa" w:w="120"/>
              <w:bottom w:type="dxa" w:w="80"/>
              <w:right w:type="dxa" w:w="120"/>
            </w:tcMar>
          </w:tcPr>
          <w:p>
            <w:r>
              <w:rPr>
                <w:b/>
                <w:bCs/>
                <w:color w:val="FFFFFF"/>
              </w:rPr>
              <w:t xml:space="preserve">Field</w:t>
            </w:r>
          </w:p>
        </w:tc>
        <w:tc>
          <w:tcPr>
            <w:tcW w:type="dxa" w:w="6250"/>
            <w:shd w:fill="8A5A12" w:val="clear"/>
            <w:tcMar>
              <w:top w:type="dxa" w:w="80"/>
              <w:left w:type="dxa" w:w="120"/>
              <w:bottom w:type="dxa" w:w="80"/>
              <w:right w:type="dxa" w:w="120"/>
            </w:tcMar>
          </w:tcPr>
          <w:p>
            <w:r>
              <w:rPr>
                <w:b/>
                <w:bCs/>
                <w:color w:val="FFFFFF"/>
              </w:rPr>
              <w:t xml:space="preserve">Ironbark Site Services demo value</w:t>
            </w:r>
          </w:p>
        </w:tc>
      </w:tr>
      <w:tr>
        <w:trPr>
          <w:cantSplit/>
        </w:trPr>
        <w:tc>
          <w:tcPr>
            <w:tcW w:type="dxa" w:w="3100"/>
            <w:shd w:fill="FBF3DF" w:val="clear"/>
            <w:tcMar>
              <w:top w:type="dxa" w:w="80"/>
              <w:left w:type="dxa" w:w="120"/>
              <w:bottom w:type="dxa" w:w="80"/>
              <w:right w:type="dxa" w:w="120"/>
            </w:tcMar>
          </w:tcPr>
          <w:p>
            <w:r>
              <w:rPr>
                <w:b/>
                <w:bCs/>
              </w:rPr>
              <w:t xml:space="preserve">Address</w:t>
            </w:r>
          </w:p>
        </w:tc>
        <w:tc>
          <w:tcPr>
            <w:tcW w:type="dxa" w:w="6250"/>
            <w:shd w:fill="FBF3DF" w:val="clear"/>
            <w:tcMar>
              <w:top w:type="dxa" w:w="80"/>
              <w:left w:type="dxa" w:w="120"/>
              <w:bottom w:type="dxa" w:w="80"/>
              <w:right w:type="dxa" w:w="120"/>
            </w:tcMar>
          </w:tcPr>
          <w:p>
            <w:r>
              <w:t xml:space="preserve">24 Grevillea Court, Cranbourne VIC 3977 (fictional demo address)</w:t>
            </w:r>
          </w:p>
        </w:tc>
      </w:tr>
      <w:tr>
        <w:trPr>
          <w:cantSplit/>
        </w:trPr>
        <w:tc>
          <w:tcPr>
            <w:tcW w:type="dxa" w:w="3100"/>
            <w:shd w:fill="FFFFFF" w:val="clear"/>
            <w:tcMar>
              <w:top w:type="dxa" w:w="80"/>
              <w:left w:type="dxa" w:w="120"/>
              <w:bottom w:type="dxa" w:w="80"/>
              <w:right w:type="dxa" w:w="120"/>
            </w:tcMar>
          </w:tcPr>
          <w:p>
            <w:r>
              <w:rPr>
                <w:b/>
                <w:bCs/>
              </w:rPr>
              <w:t xml:space="preserve">Job site boundary</w:t>
            </w:r>
          </w:p>
        </w:tc>
        <w:tc>
          <w:tcPr>
            <w:tcW w:type="dxa" w:w="6250"/>
            <w:shd w:fill="FFFFFF" w:val="clear"/>
            <w:tcMar>
              <w:top w:type="dxa" w:w="80"/>
              <w:left w:type="dxa" w:w="120"/>
              <w:bottom w:type="dxa" w:w="80"/>
              <w:right w:type="dxa" w:w="120"/>
            </w:tcMar>
          </w:tcPr>
          <w:p>
            <w:r>
              <w:t xml:space="preserve">Trench line along the northern side boundary, ~14m, drawn with the Line tool (auto-buffered 10m either side)</w:t>
            </w:r>
          </w:p>
        </w:tc>
      </w:tr>
      <w:tr>
        <w:trPr>
          <w:cantSplit/>
        </w:trPr>
        <w:tc>
          <w:tcPr>
            <w:tcW w:type="dxa" w:w="3100"/>
            <w:shd w:fill="FBF3DF" w:val="clear"/>
            <w:tcMar>
              <w:top w:type="dxa" w:w="80"/>
              <w:left w:type="dxa" w:w="120"/>
              <w:bottom w:type="dxa" w:w="80"/>
              <w:right w:type="dxa" w:w="120"/>
            </w:tcMar>
          </w:tcPr>
          <w:p>
            <w:r>
              <w:rPr>
                <w:b/>
                <w:bCs/>
              </w:rPr>
              <w:t xml:space="preserve">Work locations</w:t>
            </w:r>
          </w:p>
        </w:tc>
        <w:tc>
          <w:tcPr>
            <w:tcW w:type="dxa" w:w="6250"/>
            <w:shd w:fill="FBF3DF" w:val="clear"/>
            <w:tcMar>
              <w:top w:type="dxa" w:w="80"/>
              <w:left w:type="dxa" w:w="120"/>
              <w:bottom w:type="dxa" w:w="80"/>
              <w:right w:type="dxa" w:w="120"/>
            </w:tcMar>
          </w:tcPr>
          <w:p>
            <w:r>
              <w:t xml:space="preserve">Private</w:t>
            </w:r>
          </w:p>
        </w:tc>
      </w:tr>
      <w:tr>
        <w:trPr>
          <w:cantSplit/>
        </w:trPr>
        <w:tc>
          <w:tcPr>
            <w:tcW w:type="dxa" w:w="3100"/>
            <w:shd w:fill="FFFFFF" w:val="clear"/>
            <w:tcMar>
              <w:top w:type="dxa" w:w="80"/>
              <w:left w:type="dxa" w:w="120"/>
              <w:bottom w:type="dxa" w:w="80"/>
              <w:right w:type="dxa" w:w="120"/>
            </w:tcMar>
          </w:tcPr>
          <w:p>
            <w:r>
              <w:rPr>
                <w:b/>
                <w:bCs/>
              </w:rPr>
              <w:t xml:space="preserve">Job dates</w:t>
            </w:r>
          </w:p>
        </w:tc>
        <w:tc>
          <w:tcPr>
            <w:tcW w:type="dxa" w:w="6250"/>
            <w:shd w:fill="FFFFFF" w:val="clear"/>
            <w:tcMar>
              <w:top w:type="dxa" w:w="80"/>
              <w:left w:type="dxa" w:w="120"/>
              <w:bottom w:type="dxa" w:w="80"/>
              <w:right w:type="dxa" w:w="120"/>
            </w:tcMar>
          </w:tcPr>
          <w:p>
            <w:r>
              <w:t xml:space="preserve">Start 19 Sep 2026 / End 19 Sep 2026 (single-day dig)</w:t>
            </w:r>
          </w:p>
        </w:tc>
      </w:tr>
      <w:tr>
        <w:trPr>
          <w:cantSplit/>
        </w:trPr>
        <w:tc>
          <w:tcPr>
            <w:tcW w:type="dxa" w:w="3100"/>
            <w:shd w:fill="FBF3DF" w:val="clear"/>
            <w:tcMar>
              <w:top w:type="dxa" w:w="80"/>
              <w:left w:type="dxa" w:w="120"/>
              <w:bottom w:type="dxa" w:w="80"/>
              <w:right w:type="dxa" w:w="120"/>
            </w:tcMar>
          </w:tcPr>
          <w:p>
            <w:r>
              <w:rPr>
                <w:b/>
                <w:bCs/>
              </w:rPr>
              <w:t xml:space="preserve">Enquiry type</w:t>
            </w:r>
          </w:p>
        </w:tc>
        <w:tc>
          <w:tcPr>
            <w:tcW w:type="dxa" w:w="6250"/>
            <w:shd w:fill="FBF3DF" w:val="clear"/>
            <w:tcMar>
              <w:top w:type="dxa" w:w="80"/>
              <w:left w:type="dxa" w:w="120"/>
              <w:bottom w:type="dxa" w:w="80"/>
              <w:right w:type="dxa" w:w="120"/>
            </w:tcMar>
          </w:tcPr>
          <w:p>
            <w:r>
              <w:t xml:space="preserve">Excavation (isPlanningJob = false)</w:t>
            </w:r>
          </w:p>
        </w:tc>
      </w:tr>
      <w:tr>
        <w:trPr>
          <w:cantSplit/>
        </w:trPr>
        <w:tc>
          <w:tcPr>
            <w:tcW w:type="dxa" w:w="3100"/>
            <w:shd w:fill="FFFFFF" w:val="clear"/>
            <w:tcMar>
              <w:top w:type="dxa" w:w="80"/>
              <w:left w:type="dxa" w:w="120"/>
              <w:bottom w:type="dxa" w:w="80"/>
              <w:right w:type="dxa" w:w="120"/>
            </w:tcMar>
          </w:tcPr>
          <w:p>
            <w:r>
              <w:rPr>
                <w:b/>
                <w:bCs/>
              </w:rPr>
              <w:t xml:space="preserve">Activity types</w:t>
            </w:r>
          </w:p>
        </w:tc>
        <w:tc>
          <w:tcPr>
            <w:tcW w:type="dxa" w:w="6250"/>
            <w:shd w:fill="FFFFFF" w:val="clear"/>
            <w:tcMar>
              <w:top w:type="dxa" w:w="80"/>
              <w:left w:type="dxa" w:w="120"/>
              <w:bottom w:type="dxa" w:w="80"/>
              <w:right w:type="dxa" w:w="120"/>
            </w:tcMar>
          </w:tcPr>
          <w:p>
            <w:r>
              <w:t xml:space="preserve">MECHANICAL_EXCAVATION</w:t>
            </w:r>
          </w:p>
        </w:tc>
      </w:tr>
      <w:tr>
        <w:trPr>
          <w:cantSplit/>
        </w:trPr>
        <w:tc>
          <w:tcPr>
            <w:tcW w:type="dxa" w:w="3100"/>
            <w:shd w:fill="FBF3DF" w:val="clear"/>
            <w:tcMar>
              <w:top w:type="dxa" w:w="80"/>
              <w:left w:type="dxa" w:w="120"/>
              <w:bottom w:type="dxa" w:w="80"/>
              <w:right w:type="dxa" w:w="120"/>
            </w:tcMar>
          </w:tcPr>
          <w:p>
            <w:r>
              <w:rPr>
                <w:b/>
                <w:bCs/>
              </w:rPr>
              <w:t xml:space="preserve">Working on behalf of</w:t>
            </w:r>
          </w:p>
        </w:tc>
        <w:tc>
          <w:tcPr>
            <w:tcW w:type="dxa" w:w="6250"/>
            <w:shd w:fill="FBF3DF" w:val="clear"/>
            <w:tcMar>
              <w:top w:type="dxa" w:w="80"/>
              <w:left w:type="dxa" w:w="120"/>
              <w:bottom w:type="dxa" w:w="80"/>
              <w:right w:type="dxa" w:w="120"/>
            </w:tcMar>
          </w:tcPr>
          <w:p>
            <w:r>
              <w:t xml:space="preserve">"Private residential client — J. Alvarez"</w:t>
            </w:r>
          </w:p>
        </w:tc>
      </w:tr>
      <w:tr>
        <w:trPr>
          <w:cantSplit/>
        </w:trPr>
        <w:tc>
          <w:tcPr>
            <w:tcW w:type="dxa" w:w="3100"/>
            <w:shd w:fill="FFFFFF" w:val="clear"/>
            <w:tcMar>
              <w:top w:type="dxa" w:w="80"/>
              <w:left w:type="dxa" w:w="120"/>
              <w:bottom w:type="dxa" w:w="80"/>
              <w:right w:type="dxa" w:w="120"/>
            </w:tcMar>
          </w:tcPr>
          <w:p>
            <w:r>
              <w:rPr>
                <w:b/>
                <w:bCs/>
              </w:rPr>
              <w:t xml:space="preserve">Your reference</w:t>
            </w:r>
          </w:p>
        </w:tc>
        <w:tc>
          <w:tcPr>
            <w:tcW w:type="dxa" w:w="6250"/>
            <w:shd w:fill="FFFFFF" w:val="clear"/>
            <w:tcMar>
              <w:top w:type="dxa" w:w="80"/>
              <w:left w:type="dxa" w:w="120"/>
              <w:bottom w:type="dxa" w:w="80"/>
              <w:right w:type="dxa" w:w="120"/>
            </w:tcMar>
          </w:tcPr>
          <w:p>
            <w:r>
              <w:t xml:space="preserve">IRONBARK-EX-0142</w:t>
            </w:r>
          </w:p>
        </w:tc>
      </w:tr>
      <w:tr>
        <w:trPr>
          <w:cantSplit/>
        </w:trPr>
        <w:tc>
          <w:tcPr>
            <w:tcW w:type="dxa" w:w="3100"/>
            <w:shd w:fill="FBF3DF" w:val="clear"/>
            <w:tcMar>
              <w:top w:type="dxa" w:w="80"/>
              <w:left w:type="dxa" w:w="120"/>
              <w:bottom w:type="dxa" w:w="80"/>
              <w:right w:type="dxa" w:w="120"/>
            </w:tcMar>
          </w:tcPr>
          <w:p>
            <w:r>
              <w:rPr>
                <w:b/>
                <w:bCs/>
              </w:rPr>
              <w:t xml:space="preserve">Notes</w:t>
            </w:r>
          </w:p>
        </w:tc>
        <w:tc>
          <w:tcPr>
            <w:tcW w:type="dxa" w:w="6250"/>
            <w:shd w:fill="FBF3DF" w:val="clear"/>
            <w:tcMar>
              <w:top w:type="dxa" w:w="80"/>
              <w:left w:type="dxa" w:w="120"/>
              <w:bottom w:type="dxa" w:w="80"/>
              <w:right w:type="dxa" w:w="120"/>
            </w:tcMar>
          </w:tcPr>
          <w:p>
            <w:r>
              <w:t xml:space="preserve">"Trenching for new stormwater pipe connection, approx. 14m x 0.6m wide x 1.2m deep, along northern side boundary, mini excavator."</w:t>
            </w:r>
          </w:p>
        </w:tc>
      </w:tr>
    </w:tbl>
    <w:p>
      <w:pPr>
        <w:spacing w:after="60"/>
      </w:pPr>
    </w:p>
    <w:p>
      <w:pPr>
        <w:pStyle w:val="Heading2"/>
        <w:spacing w:after="120" w:before="240"/>
      </w:pPr>
      <w:r>
        <w:t xml:space="preserve">What happens after submission</w:t>
      </w:r>
    </w:p>
    <w:p>
      <w:pPr>
        <w:spacing w:after="160"/>
      </w:pPr>
      <w:r>
        <w:t xml:space="preserve">Affected asset owners are notified automatically and reply directly to the registered email address on the account — not through BYDA itself. A 2-business-day response is encouraged of BYDA members but not guaranteed for every owner. BYDA’s own "My Enquiries" page shows a tick against each asset owner that has replied and an estimated wait time for those still pending. For the 24-hour build, this maps directly onto the status flow already defined: Drafted → human lodges → Pending → human marks Done once the reply lands by email (no live inbox watch in this round).</w:t>
      </w:r>
    </w:p>
    <w:p>
      <w:pPr>
        <w:pStyle w:val="Heading2"/>
        <w:spacing w:after="120" w:before="240"/>
      </w:pPr>
      <w:r>
        <w:t xml:space="preserve">Sources</w:t>
      </w:r>
    </w:p>
    <w:p>
      <w:pPr>
        <w:pStyle w:val="ListParagraph"/>
        <w:numPr>
          <w:ilvl w:val="0"/>
          <w:numId w:val="2"/>
        </w:numPr>
        <w:spacing w:after="80"/>
      </w:pPr>
      <w:hyperlink w:history="1" r:id="rIdb18qfyfewuumsjgej2sox">
        <w:r>
          <w:rPr>
            <w:rStyle w:val="Hyperlink"/>
          </w:rPr>
          <w:t xml:space="preserve">BYDA: Lodging enquiries (help centre)</w:t>
        </w:r>
      </w:hyperlink>
    </w:p>
    <w:p>
      <w:pPr>
        <w:pStyle w:val="ListParagraph"/>
        <w:numPr>
          <w:ilvl w:val="0"/>
          <w:numId w:val="2"/>
        </w:numPr>
        <w:spacing w:after="80"/>
      </w:pPr>
      <w:hyperlink w:history="1" r:id="rIdczempj-t-vwydjjpleyac">
        <w:r>
          <w:rPr>
            <w:rStyle w:val="Hyperlink"/>
          </w:rPr>
          <w:t xml:space="preserve">BYDA: Enquiry details (help centre)</w:t>
        </w:r>
      </w:hyperlink>
    </w:p>
    <w:p>
      <w:pPr>
        <w:pStyle w:val="ListParagraph"/>
        <w:numPr>
          <w:ilvl w:val="0"/>
          <w:numId w:val="2"/>
        </w:numPr>
        <w:spacing w:after="80"/>
      </w:pPr>
      <w:hyperlink w:history="1" r:id="rIdgt8idq9kp1kbuj-e5ksmg">
        <w:r>
          <w:rPr>
            <w:rStyle w:val="Hyperlink"/>
          </w:rPr>
          <w:t xml:space="preserve">BYDA: Drawing your job site (help centre)</w:t>
        </w:r>
      </w:hyperlink>
    </w:p>
    <w:p>
      <w:pPr>
        <w:pStyle w:val="ListParagraph"/>
        <w:numPr>
          <w:ilvl w:val="0"/>
          <w:numId w:val="2"/>
        </w:numPr>
        <w:spacing w:after="80"/>
      </w:pPr>
      <w:hyperlink w:history="1" r:id="rIdocldu4uwpuv6fratjm6mh">
        <w:r>
          <w:rPr>
            <w:rStyle w:val="Hyperlink"/>
          </w:rPr>
          <w:t xml:space="preserve">BYDA: Automating enquiry lodgement (help centre)</w:t>
        </w:r>
      </w:hyperlink>
    </w:p>
    <w:p>
      <w:pPr>
        <w:pStyle w:val="ListParagraph"/>
        <w:numPr>
          <w:ilvl w:val="0"/>
          <w:numId w:val="2"/>
        </w:numPr>
        <w:spacing w:after="80"/>
      </w:pPr>
      <w:hyperlink w:history="1" r:id="rIdiubw6cm5s8d3jolrj1ky5">
        <w:r>
          <w:rPr>
            <w:rStyle w:val="Hyperlink"/>
          </w:rPr>
          <w:t xml:space="preserve">BYDA: Enquiries API specification</w:t>
        </w:r>
      </w:hyperlink>
    </w:p>
    <w:p>
      <w:pPr>
        <w:pStyle w:val="ListParagraph"/>
        <w:numPr>
          <w:ilvl w:val="0"/>
          <w:numId w:val="2"/>
        </w:numPr>
        <w:spacing w:after="80"/>
      </w:pPr>
      <w:hyperlink w:history="1" r:id="rIdpxsnkwdljb_090b4lnugg">
        <w:r>
          <w:rPr>
            <w:rStyle w:val="Hyperlink"/>
          </w:rPr>
          <w:t xml:space="preserve">BYDA: Guide to free plans</w:t>
        </w:r>
      </w:hyperlink>
    </w:p>
    <w:p>
      <w:pPr>
        <w:pStyle w:val="ListParagraph"/>
        <w:numPr>
          <w:ilvl w:val="0"/>
          <w:numId w:val="2"/>
        </w:numPr>
        <w:spacing w:after="80"/>
      </w:pPr>
      <w:hyperlink w:history="1" r:id="rIdj9lcfybklwsgd713ah9o8">
        <w:r>
          <w:rPr>
            <w:rStyle w:val="Hyperlink"/>
          </w:rPr>
          <w:t xml:space="preserve">BYDA: FAQs</w:t>
        </w:r>
      </w:hyperlink>
    </w:p>
    <w:p>
      <w:r>
        <w:br w:type="page"/>
      </w:r>
    </w:p>
    <w:p>
      <w:pPr>
        <w:pStyle w:val="Heading1"/>
        <w:spacing w:after="160" w:before="320"/>
      </w:pPr>
      <w:r>
        <w:t xml:space="preserve">2. Booking a Licensed Electrical Inspector — Electrical Work (Prescribed Work Only)</w:t>
      </w:r>
    </w:p>
    <w:p>
      <w:pPr>
        <w:pStyle w:val="Heading2"/>
        <w:spacing w:after="120" w:before="240"/>
      </w:pPr>
      <w:r>
        <w:t xml:space="preserve">Where it fits</w:t>
      </w:r>
    </w:p>
    <w:p>
      <w:pPr>
        <w:spacing w:after="160"/>
      </w:pPr>
      <w:r>
        <w:t xml:space="preserve">Lodging the Certificate of Electrical Safety (CES) itself, via ESVConnect, is the electrician’s own account action — self-certified for non-prescribed work, done in minutes, nothing drafted or sent to anyone outside the business. It does not fit the Third-Party Request pattern and should be modelled as an Automated/On-Site deadline item instead (issued: yes/no).</w:t>
      </w:r>
    </w:p>
    <w:p>
      <w:pPr>
        <w:spacing w:after="160"/>
      </w:pPr>
      <w:r>
        <w:t xml:space="preserve">The genuine Third-Party Request for Electrical Work is booking the independent inspection that prescribed work requires — main switchboards and consumer mains, solar/battery storage, and motor or generator installations — before the installation can be energised, and within 8 business days of the work finishing.</w:t>
      </w:r>
    </w:p>
    <w:tbl>
      <w:tblPr>
        <w:tblW w:type="dxa" w:w="9350"/>
        <w:tblBorders>
          <w:top w:val="single" w:color="B23B3B" w:sz="4"/>
          <w:left w:val="single" w:color="B23B3B" w:sz="24"/>
          <w:bottom w:val="single" w:color="B23B3B" w:sz="4"/>
          <w:right w:val="none" w:color="FFFFFF" w:sz="0"/>
          <w:insideH w:val="single" w:color="auto" w:sz="4"/>
          <w:insideV w:val="single" w:color="auto" w:sz="4"/>
        </w:tblBorders>
      </w:tblPr>
      <w:tblGrid>
        <w:gridCol w:w="9350"/>
      </w:tblGrid>
      <w:tr>
        <w:tc>
          <w:tcPr>
            <w:tcW w:type="dxa" w:w="9350"/>
            <w:shd w:fill="FBEAEA" w:val="clear"/>
            <w:tcMar>
              <w:top w:type="dxa" w:w="120"/>
              <w:left w:type="dxa" w:w="180"/>
              <w:bottom w:type="dxa" w:w="120"/>
              <w:right w:type="dxa" w:w="180"/>
            </w:tcMar>
          </w:tcPr>
          <w:p>
            <w:r>
              <w:rPr>
                <w:b/>
                <w:bCs/>
                <w:color w:val="8A2020"/>
              </w:rPr>
              <w:t xml:space="preserve">Important finding: </w:t>
            </w:r>
            <w:r>
              <w:rPr>
                <w:color w:val="5A2A2A"/>
              </w:rPr>
              <w:t xml:space="preserve">There is no standardised public booking form for a Licensed Electrical Inspector (LEI). Energy Safe Victoria’s own guidance, its COES documents and forms library, and a live independent inspector’s own site were all checked — none publish a fixed form or field list. LEIs are independent operators found through ESV’s public inspector register and contacted directly by phone or email; each one runs their own intake (one real inspector’s own website offers nothing more than a generic name / email / attachment contact box). Presenting a fabricated "official template" here would be inventing something that doesn’t exist, so this section builds a request from what ESV’s own rules establish as necessary instead.</w:t>
            </w:r>
          </w:p>
        </w:tc>
      </w:tr>
    </w:tbl>
    <w:p>
      <w:pPr>
        <w:spacing w:after="60"/>
      </w:pPr>
    </w:p>
    <w:p>
      <w:pPr>
        <w:pStyle w:val="Heading2"/>
        <w:spacing w:after="120" w:before="240"/>
      </w:pPr>
      <w:r>
        <w:t xml:space="preserve">What must be communicated, and why (grounded in ESV’s published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F1B16" w:val="clear"/>
            <w:tcMar>
              <w:top w:type="dxa" w:w="80"/>
              <w:left w:type="dxa" w:w="120"/>
              <w:bottom w:type="dxa" w:w="80"/>
              <w:right w:type="dxa" w:w="120"/>
            </w:tcMar>
          </w:tcPr>
          <w:p>
            <w:r>
              <w:rPr>
                <w:b/>
                <w:bCs/>
                <w:color w:val="FFFFFF"/>
              </w:rPr>
              <w:t xml:space="preserve">Field</w:t>
            </w:r>
          </w:p>
        </w:tc>
        <w:tc>
          <w:tcPr>
            <w:tcW w:type="dxa" w:w="6250"/>
            <w:shd w:fill="1F1B16" w:val="clear"/>
            <w:tcMar>
              <w:top w:type="dxa" w:w="80"/>
              <w:left w:type="dxa" w:w="120"/>
              <w:bottom w:type="dxa" w:w="80"/>
              <w:right w:type="dxa" w:w="120"/>
            </w:tcMar>
          </w:tcPr>
          <w:p>
            <w:r>
              <w:rPr>
                <w:b/>
                <w:bCs/>
                <w:color w:val="FFFFFF"/>
              </w:rPr>
              <w:t xml:space="preserve">What to fill in / guidance</w:t>
            </w:r>
          </w:p>
        </w:tc>
      </w:tr>
      <w:tr>
        <w:trPr>
          <w:cantSplit/>
        </w:trPr>
        <w:tc>
          <w:tcPr>
            <w:tcW w:type="dxa" w:w="3100"/>
            <w:shd w:fill="F4F2EE" w:val="clear"/>
            <w:tcMar>
              <w:top w:type="dxa" w:w="80"/>
              <w:left w:type="dxa" w:w="120"/>
              <w:bottom w:type="dxa" w:w="80"/>
              <w:right w:type="dxa" w:w="120"/>
            </w:tcMar>
          </w:tcPr>
          <w:p>
            <w:r>
              <w:rPr>
                <w:b/>
                <w:bCs/>
              </w:rPr>
              <w:t xml:space="preserve">Installation / work address</w:t>
            </w:r>
          </w:p>
        </w:tc>
        <w:tc>
          <w:tcPr>
            <w:tcW w:type="dxa" w:w="6250"/>
            <w:shd w:fill="F4F2EE" w:val="clear"/>
            <w:tcMar>
              <w:top w:type="dxa" w:w="80"/>
              <w:left w:type="dxa" w:w="120"/>
              <w:bottom w:type="dxa" w:w="80"/>
              <w:right w:type="dxa" w:w="120"/>
            </w:tcMar>
          </w:tcPr>
          <w:p>
            <w:r>
              <w:t xml:space="preserve">A Certificate of Electrical Safety, and the inspection tied to it, each cover a single address — confirmed by Energy Safe Victoria’s paper-COES field guidance.</w:t>
            </w:r>
          </w:p>
        </w:tc>
      </w:tr>
      <w:tr>
        <w:trPr>
          <w:cantSplit/>
        </w:trPr>
        <w:tc>
          <w:tcPr>
            <w:tcW w:type="dxa" w:w="3100"/>
            <w:shd w:fill="FFFFFF" w:val="clear"/>
            <w:tcMar>
              <w:top w:type="dxa" w:w="80"/>
              <w:left w:type="dxa" w:w="120"/>
              <w:bottom w:type="dxa" w:w="80"/>
              <w:right w:type="dxa" w:w="120"/>
            </w:tcMar>
          </w:tcPr>
          <w:p>
            <w:r>
              <w:rPr>
                <w:b/>
                <w:bCs/>
              </w:rPr>
              <w:t xml:space="preserve">Confirmation the work is prescribed, and which category
(switchboard/consumer mains, solar/battery storage, or motor/generator install)</w:t>
            </w:r>
          </w:p>
        </w:tc>
        <w:tc>
          <w:tcPr>
            <w:tcW w:type="dxa" w:w="6250"/>
            <w:shd w:fill="FFFFFF" w:val="clear"/>
            <w:tcMar>
              <w:top w:type="dxa" w:w="80"/>
              <w:left w:type="dxa" w:w="120"/>
              <w:bottom w:type="dxa" w:w="80"/>
              <w:right w:type="dxa" w:w="120"/>
            </w:tcMar>
          </w:tcPr>
          <w:p>
            <w:r>
              <w:t xml:space="preserve">This is what tells the inspector it is their job at all — non-prescribed work never needs one. It also lets the inspector confirm independence: an LEI cannot inspect work they were themselves employed on.</w:t>
            </w:r>
          </w:p>
        </w:tc>
      </w:tr>
      <w:tr>
        <w:trPr>
          <w:cantSplit/>
        </w:trPr>
        <w:tc>
          <w:tcPr>
            <w:tcW w:type="dxa" w:w="3100"/>
            <w:shd w:fill="F4F2EE" w:val="clear"/>
            <w:tcMar>
              <w:top w:type="dxa" w:w="80"/>
              <w:left w:type="dxa" w:w="120"/>
              <w:bottom w:type="dxa" w:w="80"/>
              <w:right w:type="dxa" w:w="120"/>
            </w:tcMar>
          </w:tcPr>
          <w:p>
            <w:r>
              <w:rPr>
                <w:b/>
                <w:bCs/>
              </w:rPr>
              <w:t xml:space="preserve">Name and licence/registration number of the electrician or REC who did the work</w:t>
            </w:r>
          </w:p>
        </w:tc>
        <w:tc>
          <w:tcPr>
            <w:tcW w:type="dxa" w:w="6250"/>
            <w:shd w:fill="F4F2EE" w:val="clear"/>
            <w:tcMar>
              <w:top w:type="dxa" w:w="80"/>
              <w:left w:type="dxa" w:w="120"/>
              <w:bottom w:type="dxa" w:w="80"/>
              <w:right w:type="dxa" w:w="120"/>
            </w:tcMar>
          </w:tcPr>
          <w:p>
            <w:r>
              <w:t xml:space="preserve">Needed for the inspector to confirm who is responsible for the installation and that a suitably licensed person performed it.</w:t>
            </w:r>
          </w:p>
        </w:tc>
      </w:tr>
      <w:tr>
        <w:trPr>
          <w:cantSplit/>
        </w:trPr>
        <w:tc>
          <w:tcPr>
            <w:tcW w:type="dxa" w:w="3100"/>
            <w:shd w:fill="FFFFFF" w:val="clear"/>
            <w:tcMar>
              <w:top w:type="dxa" w:w="80"/>
              <w:left w:type="dxa" w:w="120"/>
              <w:bottom w:type="dxa" w:w="80"/>
              <w:right w:type="dxa" w:w="120"/>
            </w:tcMar>
          </w:tcPr>
          <w:p>
            <w:r>
              <w:rPr>
                <w:b/>
                <w:bCs/>
              </w:rPr>
              <w:t xml:space="preserve">Date the work was, or will be, completed</w:t>
            </w:r>
          </w:p>
        </w:tc>
        <w:tc>
          <w:tcPr>
            <w:tcW w:type="dxa" w:w="6250"/>
            <w:shd w:fill="FFFFFF" w:val="clear"/>
            <w:tcMar>
              <w:top w:type="dxa" w:w="80"/>
              <w:left w:type="dxa" w:w="120"/>
              <w:bottom w:type="dxa" w:w="80"/>
              <w:right w:type="dxa" w:w="120"/>
            </w:tcMar>
          </w:tcPr>
          <w:p>
            <w:r>
              <w:t xml:space="preserve">This is the date that starts the 8-business-day inspection clock — the single hardest deadline in this checklist item.</w:t>
            </w:r>
          </w:p>
        </w:tc>
      </w:tr>
      <w:tr>
        <w:trPr>
          <w:cantSplit/>
        </w:trPr>
        <w:tc>
          <w:tcPr>
            <w:tcW w:type="dxa" w:w="3100"/>
            <w:shd w:fill="F4F2EE" w:val="clear"/>
            <w:tcMar>
              <w:top w:type="dxa" w:w="80"/>
              <w:left w:type="dxa" w:w="120"/>
              <w:bottom w:type="dxa" w:w="80"/>
              <w:right w:type="dxa" w:w="120"/>
            </w:tcMar>
          </w:tcPr>
          <w:p>
            <w:r>
              <w:rPr>
                <w:b/>
                <w:bCs/>
              </w:rPr>
              <w:t xml:space="preserve">COES certificate number / ESVConnect reference (once purchased or lodged)</w:t>
            </w:r>
          </w:p>
        </w:tc>
        <w:tc>
          <w:tcPr>
            <w:tcW w:type="dxa" w:w="6250"/>
            <w:shd w:fill="F4F2EE" w:val="clear"/>
            <w:tcMar>
              <w:top w:type="dxa" w:w="80"/>
              <w:left w:type="dxa" w:w="120"/>
              <w:bottom w:type="dxa" w:w="80"/>
              <w:right w:type="dxa" w:w="120"/>
            </w:tcMar>
          </w:tcPr>
          <w:p>
            <w:r>
              <w:t xml:space="preserve">Energy Safe Victoria does not require a paper copy of the COES to be provided because it already sits in ESVConnect — the inspector looks the certificate up by its reference rather than needing it attached.</w:t>
            </w:r>
          </w:p>
        </w:tc>
      </w:tr>
      <w:tr>
        <w:trPr>
          <w:cantSplit/>
        </w:trPr>
        <w:tc>
          <w:tcPr>
            <w:tcW w:type="dxa" w:w="3100"/>
            <w:shd w:fill="FFFFFF" w:val="clear"/>
            <w:tcMar>
              <w:top w:type="dxa" w:w="80"/>
              <w:left w:type="dxa" w:w="120"/>
              <w:bottom w:type="dxa" w:w="80"/>
              <w:right w:type="dxa" w:w="120"/>
            </w:tcMar>
          </w:tcPr>
          <w:p>
            <w:r>
              <w:rPr>
                <w:b/>
                <w:bCs/>
              </w:rPr>
              <w:t xml:space="preserve">Requested inspection window</w:t>
            </w:r>
          </w:p>
        </w:tc>
        <w:tc>
          <w:tcPr>
            <w:tcW w:type="dxa" w:w="6250"/>
            <w:shd w:fill="FFFFFF" w:val="clear"/>
            <w:tcMar>
              <w:top w:type="dxa" w:w="80"/>
              <w:left w:type="dxa" w:w="120"/>
              <w:bottom w:type="dxa" w:w="80"/>
              <w:right w:type="dxa" w:w="120"/>
            </w:tcMar>
          </w:tcPr>
          <w:p>
            <w:r>
              <w:t xml:space="preserve">Must fall inside the 8-business-day deadline from completion.</w:t>
            </w:r>
          </w:p>
        </w:tc>
      </w:tr>
      <w:tr>
        <w:trPr>
          <w:cantSplit/>
        </w:trPr>
        <w:tc>
          <w:tcPr>
            <w:tcW w:type="dxa" w:w="3100"/>
            <w:shd w:fill="F4F2EE" w:val="clear"/>
            <w:tcMar>
              <w:top w:type="dxa" w:w="80"/>
              <w:left w:type="dxa" w:w="120"/>
              <w:bottom w:type="dxa" w:w="80"/>
              <w:right w:type="dxa" w:w="120"/>
            </w:tcMar>
          </w:tcPr>
          <w:p>
            <w:r>
              <w:rPr>
                <w:b/>
                <w:bCs/>
              </w:rPr>
              <w:t xml:space="preserve">Site access / on-site contact for the inspection</w:t>
            </w:r>
          </w:p>
        </w:tc>
        <w:tc>
          <w:tcPr>
            <w:tcW w:type="dxa" w:w="6250"/>
            <w:shd w:fill="F4F2EE" w:val="clear"/>
            <w:tcMar>
              <w:top w:type="dxa" w:w="80"/>
              <w:left w:type="dxa" w:w="120"/>
              <w:bottom w:type="dxa" w:w="80"/>
              <w:right w:type="dxa" w:w="120"/>
            </w:tcMar>
          </w:tcPr>
          <w:p>
            <w:r>
              <w:t xml:space="preserve">Practical detail every inspector needs to actually attend — not itself an ESV-mandated field, but a booking cannot proceed without it.</w:t>
            </w:r>
          </w:p>
        </w:tc>
      </w:tr>
    </w:tbl>
    <w:p>
      <w:pPr>
        <w:spacing w:after="60"/>
      </w:pPr>
    </w:p>
    <w:p>
      <w:pPr>
        <w:pStyle w:val="Heading2"/>
        <w:spacing w:after="120" w:before="240"/>
      </w:pPr>
      <w:r>
        <w:t xml:space="preserve">Worked example request (built from the requirements above — not a copy of any inspector’s real template)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AFAF8" w:val="clear"/>
            <w:tcMar>
              <w:top w:type="dxa" w:w="180"/>
              <w:left w:type="dxa" w:w="220"/>
              <w:bottom w:type="dxa" w:w="180"/>
              <w:right w:type="dxa" w:w="220"/>
            </w:tcMar>
          </w:tcPr>
          <w:p>
            <w:pPr>
              <w:spacing w:after="160"/>
            </w:pPr>
            <w:r>
              <w:rPr>
                <w:b/>
                <w:bCs/>
                <w:sz w:val="20"/>
                <w:szCs w:val="20"/>
              </w:rPr>
              <w:t xml:space="preserve">Subject: Prescribed work inspection request — 42 Wattletree Grove, Frankston VIC 3199 (Ironbark Site Services)</w:t>
            </w:r>
          </w:p>
          <w:p>
            <w:pPr>
              <w:spacing w:after="120"/>
            </w:pPr>
            <w:r>
              <w:rPr>
                <w:b w:val="false"/>
                <w:bCs w:val="false"/>
                <w:sz w:val="20"/>
                <w:szCs w:val="20"/>
              </w:rPr>
              <w:t xml:space="preserve">Hi [Inspector name],</w:t>
            </w:r>
          </w:p>
          <w:p>
            <w:pPr>
              <w:spacing w:after="120"/>
            </w:pPr>
            <w:r>
              <w:rPr>
                <w:b w:val="false"/>
                <w:bCs w:val="false"/>
                <w:sz w:val="20"/>
                <w:szCs w:val="20"/>
              </w:rPr>
              <w:t xml:space="preserve">We’re requesting an independent inspection for prescribed electrical work completed at 42 Wattletree Grove, Frankston VIC 3199.</w:t>
            </w:r>
          </w:p>
          <w:p>
            <w:pPr>
              <w:spacing w:after="60"/>
            </w:pPr>
            <w:r>
              <w:rPr>
                <w:b w:val="false"/>
                <w:bCs w:val="false"/>
                <w:sz w:val="20"/>
                <w:szCs w:val="20"/>
              </w:rPr>
              <w:t xml:space="preserve">Work type: Switchboard upgrade (main switchboard and consumer mains replacement)</w:t>
            </w:r>
          </w:p>
          <w:p>
            <w:pPr>
              <w:spacing w:after="60"/>
            </w:pPr>
            <w:r>
              <w:rPr>
                <w:b w:val="false"/>
                <w:bCs w:val="false"/>
                <w:sz w:val="20"/>
                <w:szCs w:val="20"/>
              </w:rPr>
              <w:t xml:space="preserve">Completed by: [Electrician name], REC licence [number], Ironbark Site Services</w:t>
            </w:r>
          </w:p>
          <w:p>
            <w:pPr>
              <w:spacing w:after="60"/>
            </w:pPr>
            <w:r>
              <w:rPr>
                <w:b w:val="false"/>
                <w:bCs w:val="false"/>
                <w:sz w:val="20"/>
                <w:szCs w:val="20"/>
              </w:rPr>
              <w:t xml:space="preserve">Date work completed: 16 September 2026</w:t>
            </w:r>
          </w:p>
          <w:p>
            <w:pPr>
              <w:spacing w:after="60"/>
            </w:pPr>
            <w:r>
              <w:rPr>
                <w:b w:val="false"/>
                <w:bCs w:val="false"/>
                <w:sz w:val="20"/>
                <w:szCs w:val="20"/>
              </w:rPr>
              <w:t xml:space="preserve">COES reference: [ESVConnect certificate number, once lodged]</w:t>
            </w:r>
          </w:p>
          <w:p>
            <w:pPr>
              <w:spacing w:after="60"/>
            </w:pPr>
            <w:r>
              <w:rPr>
                <w:b w:val="false"/>
                <w:bCs w:val="false"/>
                <w:sz w:val="20"/>
                <w:szCs w:val="20"/>
              </w:rPr>
              <w:t xml:space="preserve">Requested inspection window: 17–24 September 2026 (within the 8-business-day requirement)</w:t>
            </w:r>
          </w:p>
          <w:p>
            <w:pPr>
              <w:spacing w:after="160"/>
            </w:pPr>
            <w:r>
              <w:rPr>
                <w:b w:val="false"/>
                <w:bCs w:val="false"/>
                <w:sz w:val="20"/>
                <w:szCs w:val="20"/>
              </w:rPr>
              <w:t xml:space="preserve">Site contact: [name / phone] — access available [times]</w:t>
            </w:r>
          </w:p>
          <w:p>
            <w:pPr>
              <w:spacing w:after="160"/>
            </w:pPr>
            <w:r>
              <w:rPr>
                <w:b w:val="false"/>
                <w:bCs w:val="false"/>
                <w:sz w:val="20"/>
                <w:szCs w:val="20"/>
              </w:rPr>
              <w:t xml:space="preserve">Please let us know your availability within that window, or the next date you have free if it falls outside it.</w:t>
            </w:r>
          </w:p>
          <w:p>
            <w:pPr>
              <w:spacing w:after="0"/>
            </w:pPr>
            <w:r>
              <w:rPr>
                <w:b w:val="false"/>
                <w:bCs w:val="false"/>
                <w:sz w:val="20"/>
                <w:szCs w:val="20"/>
              </w:rPr>
              <w:t xml:space="preserve">Thanks,
[Name], Ironbark Site Services</w:t>
            </w:r>
          </w:p>
        </w:tc>
      </w:tr>
    </w:tbl>
    <w:p>
      <w:pPr>
        <w:spacing w:after="60"/>
      </w:pPr>
    </w:p>
    <w:p>
      <w:pPr>
        <w:pStyle w:val="Heading2"/>
        <w:spacing w:after="120" w:before="240"/>
      </w:pPr>
      <w:r>
        <w:t xml:space="preserve">After the inspection</w:t>
      </w:r>
    </w:p>
    <w:p>
      <w:pPr>
        <w:spacing w:after="160"/>
      </w:pPr>
      <w:r>
        <w:rPr>
          <w:i/>
          <w:iCs/>
          <w:color w:val="5B554A"/>
        </w:rPr>
        <w:t xml:space="preserve">The LEI issues a Certificate of Inspection alongside the electrician’s own compliance certificate, and copies of a prescribed COES must reach all relevant parties within 16 calendar days of the work being completed — a second deadline worth tracking alongside the 8-business-day one. What happens procedurally if an inspection finds a defect was not documented on any Energy Safe Victoria page checked for this research — that gap is flagged rather than guessed at, consistent with how unconfirmed items have been handled elsewhere in this project.</w:t>
      </w:r>
    </w:p>
    <w:p>
      <w:pPr>
        <w:pStyle w:val="Heading2"/>
        <w:spacing w:after="120" w:before="240"/>
      </w:pPr>
      <w:r>
        <w:t xml:space="preserve">Sources</w:t>
      </w:r>
    </w:p>
    <w:p>
      <w:pPr>
        <w:pStyle w:val="ListParagraph"/>
        <w:numPr>
          <w:ilvl w:val="0"/>
          <w:numId w:val="2"/>
        </w:numPr>
        <w:spacing w:after="80"/>
      </w:pPr>
      <w:hyperlink w:history="1" r:id="rId-1ln-qmm5trxvenytozde">
        <w:r>
          <w:rPr>
            <w:rStyle w:val="Hyperlink"/>
          </w:rPr>
          <w:t xml:space="preserve">Energy Safe Victoria: Certificates of Electrical Safety</w:t>
        </w:r>
      </w:hyperlink>
    </w:p>
    <w:p>
      <w:pPr>
        <w:pStyle w:val="ListParagraph"/>
        <w:numPr>
          <w:ilvl w:val="0"/>
          <w:numId w:val="2"/>
        </w:numPr>
        <w:spacing w:after="80"/>
      </w:pPr>
      <w:hyperlink w:history="1" r:id="rIdauhksmrqpsvjmc5cgqfis">
        <w:r>
          <w:rPr>
            <w:rStyle w:val="Hyperlink"/>
          </w:rPr>
          <w:t xml:space="preserve">Energy Safe Victoria: Prescribed and non-prescribed work</w:t>
        </w:r>
      </w:hyperlink>
    </w:p>
    <w:p>
      <w:pPr>
        <w:pStyle w:val="ListParagraph"/>
        <w:numPr>
          <w:ilvl w:val="0"/>
          <w:numId w:val="2"/>
        </w:numPr>
        <w:spacing w:after="80"/>
      </w:pPr>
      <w:hyperlink w:history="1" r:id="rIdnpvnxe3jzu1dcdfdvwbeh">
        <w:r>
          <w:rPr>
            <w:rStyle w:val="Hyperlink"/>
          </w:rPr>
          <w:t xml:space="preserve">Energy Safe Victoria: Licensed Electrical Inspectors</w:t>
        </w:r>
      </w:hyperlink>
    </w:p>
    <w:p>
      <w:pPr>
        <w:pStyle w:val="ListParagraph"/>
        <w:numPr>
          <w:ilvl w:val="0"/>
          <w:numId w:val="2"/>
        </w:numPr>
        <w:spacing w:after="80"/>
      </w:pPr>
      <w:hyperlink w:history="1" r:id="rIdzgxxmfpa7gd3j9iyq3zwp">
        <w:r>
          <w:rPr>
            <w:rStyle w:val="Hyperlink"/>
          </w:rPr>
          <w:t xml:space="preserve">Energy Safe Victoria: ESVConnect Certificates of Electrical Safety</w:t>
        </w:r>
      </w:hyperlink>
    </w:p>
    <w:p>
      <w:pPr>
        <w:pStyle w:val="ListParagraph"/>
        <w:numPr>
          <w:ilvl w:val="0"/>
          <w:numId w:val="2"/>
        </w:numPr>
        <w:spacing w:after="80"/>
      </w:pPr>
      <w:hyperlink w:history="1" r:id="rId0wddcsijvfsk5xvhskcn8">
        <w:r>
          <w:rPr>
            <w:rStyle w:val="Hyperlink"/>
          </w:rPr>
          <w:t xml:space="preserve">Energy Safe Victoria: Paper Certificates of Electrical Safety</w:t>
        </w:r>
      </w:hyperlink>
    </w:p>
    <w:p>
      <w:pPr>
        <w:pStyle w:val="ListParagraph"/>
        <w:numPr>
          <w:ilvl w:val="0"/>
          <w:numId w:val="2"/>
        </w:numPr>
        <w:spacing w:after="80"/>
      </w:pPr>
      <w:hyperlink w:history="1" r:id="rIdzio8i1vmbh3tcgzd4f5mo">
        <w:r>
          <w:rPr>
            <w:rStyle w:val="Hyperlink"/>
          </w:rPr>
          <w:t xml:space="preserve">Energy Safe Victoria: Important documents and forms</w:t>
        </w:r>
      </w:hyperlink>
    </w:p>
    <w:p>
      <w:r>
        <w:br w:type="page"/>
      </w:r>
    </w:p>
    <w:p>
      <w:pPr>
        <w:pStyle w:val="Heading1"/>
        <w:spacing w:after="160" w:before="320"/>
      </w:pPr>
      <w:r>
        <w:t xml:space="preserve">What This Means for the Build</w:t>
      </w:r>
    </w:p>
    <w:p>
      <w:pPr>
        <w:pStyle w:val="ListParagraph"/>
        <w:numPr>
          <w:ilvl w:val="0"/>
          <w:numId w:val="2"/>
        </w:numPr>
        <w:spacing w:after="80"/>
      </w:pPr>
      <w:r>
        <w:t xml:space="preserve">Both items still fit the same Third-Party Request status flow already defined — Not Started → Drafting → Ready to Send → Pending → Done/Overdue — the difference is only what gets drafted and who it’s addressed to.</w:t>
      </w:r>
    </w:p>
    <w:p>
      <w:pPr>
        <w:pStyle w:val="ListParagraph"/>
        <w:numPr>
          <w:ilvl w:val="0"/>
          <w:numId w:val="2"/>
        </w:numPr>
        <w:spacing w:after="80"/>
      </w:pPr>
      <w:r>
        <w:t xml:space="preserve">BYDA is the cleaner case: one authoritative counterparty, a documented field schema, and a human just needs to paste Site Ahead’s drafted values into the portal.</w:t>
      </w:r>
    </w:p>
    <w:p>
      <w:pPr>
        <w:pStyle w:val="ListParagraph"/>
        <w:numPr>
          <w:ilvl w:val="0"/>
          <w:numId w:val="2"/>
        </w:numPr>
        <w:spacing w:after="80"/>
      </w:pPr>
      <w:r>
        <w:t xml:space="preserve">LEI booking is genuinely ad hoc — no fixed counterparty or form — so the agent’s draft is a plain-English email built from ESV’s documented requirements, addressed to whichever inspector the human picks from ESV’s public register.</w:t>
      </w:r>
    </w:p>
    <w:p>
      <w:pPr>
        <w:pStyle w:val="ListParagraph"/>
        <w:numPr>
          <w:ilvl w:val="0"/>
          <w:numId w:val="2"/>
        </w:numPr>
        <w:spacing w:after="80"/>
      </w:pPr>
      <w:r>
        <w:t xml:space="preserve">Recommend re-labelling the Electrical Work checklist: "Book LEI inspection (prescribed work only)" as the Third-Party Request, and "Lodge CES via ESVConnect" as a separate Automated/On-Site deadline item, not a drafted form.</w:t>
      </w:r>
    </w:p>
    <w:p>
      <w:r>
        <w:br w:type="page"/>
      </w:r>
    </w:p>
    <w:p>
      <w:pPr>
        <w:spacing w:after="280"/>
      </w:pPr>
      <w:r>
        <w:rPr>
          <w:color w:val="5B554A"/>
          <w:sz w:val="26"/>
        </w:rPr>
        <w:t>Building Permit, Certificate of Consent, Home Warranty &amp; Occupancy Permit — grounded templates for Carpentry &amp; Renovation</w:t>
      </w:r>
    </w:p>
    <w:p>
      <w:pPr>
        <w:spacing w:after="160"/>
      </w:pPr>
      <w:r>
        <w:t>This extends the BYDA/LEI document to the third job type in scope: Carpentry &amp; Renovation. Carpentry &amp; Renovation has four Third-Party Request items (see track_electrical_carpentry_checklist_classification.md). Building Permit is the clean case, like BYDA — one statutory form, fixed fields. Certificate of Consent and Home Warranty are the ad hoc cases, like the LEI booking — real, confirmed processes, but no downloadable fixed-field form. Occupancy Permit / Certificate of Final Inspection sits in between: a prescribed form exists in principle, but a supporting-document checklist, not the form’s own fields, is what could be confirmed.</w:t>
      </w:r>
    </w:p>
    <w:p>
      <w:pPr>
        <w:spacing w:after="160"/>
      </w:pPr>
      <w:r>
        <w:rPr>
          <w:i/>
          <w:color w:val="5B554A"/>
        </w:rPr>
        <w:t>Methodology note, same standard as the existing document: every field list below is either copied from an official prescribed form (sourced and linked), or, where no such form exists, built from what the regulator’s own published requirements say must be provided, with that gap stated plainly rather than an invented template presented as official. Filled-in examples use the same fictional demo contractor, Ironbark Site Services, and a new fictional address — not a real submission.</w:t>
      </w:r>
    </w:p>
    <w:p>
      <w:r>
        <w:br w:type="page"/>
      </w:r>
    </w:p>
    <w:p>
      <w:pPr>
        <w:pStyle w:val="Heading1"/>
        <w:spacing w:after="160" w:before="320"/>
      </w:pPr>
      <w:r>
        <w:t>3. Building Permit — Carpentry &amp; Renovation</w:t>
      </w:r>
    </w:p>
    <w:p>
      <w:pPr>
        <w:pStyle w:val="Heading2"/>
        <w:spacing w:after="120" w:before="240"/>
      </w:pPr>
      <w:r>
        <w:t>Where it fits</w:t>
      </w:r>
    </w:p>
    <w:p>
      <w:pPr>
        <w:spacing w:after="160"/>
      </w:pPr>
      <w:r>
        <w:t>Every job over the relevant thresholds needs a building permit before work starts, on both the registered-builder path and the owner-builder path. It is the cleanest Third-Party Request of the four: one prescribed, statutory form, the same shape everywhere in Victoria.</w:t>
      </w:r>
    </w:p>
    <w:p>
      <w:pPr>
        <w:pStyle w:val="Heading2"/>
        <w:spacing w:after="120" w:before="240"/>
      </w:pPr>
      <w:r>
        <w:t>Where it’s actually submitted</w:t>
      </w:r>
    </w:p>
    <w:p>
      <w:pPr>
        <w:spacing w:after="160"/>
      </w:pPr>
      <w:r>
        <w:t>To whichever registered building surveyor the owner or builder appoints (private practitioner or a council building unit acting as one) — there is no single central portal, since surveyors are privately appointed. The form itself is fixed by regulation regardless of which surveyor receives it.</w:t>
      </w:r>
    </w:p>
    <w:tbl>
      <w:tblPr>
        <w:tblW w:type="auto" w:w="0"/>
        <w:tblLook w:firstColumn="1" w:firstRow="1" w:lastColumn="0" w:lastRow="0" w:noHBand="0" w:noVBand="1" w:val="04A0"/>
        <w:tblW w:type="dxa" w:w="9350"/>
        <w:tblBorders>
          <w:top w:val="single" w:color="C98A2C" w:sz="4"/>
          <w:left w:val="single" w:color="C98A2C" w:sz="24"/>
          <w:bottom w:val="single" w:color="C98A2C" w:sz="4"/>
          <w:right w:val="none" w:color="FFFFFF" w:sz="0"/>
        </w:tblBorders>
      </w:tblPr>
      <w:tblGrid>
        <w:gridCol w:w="9350"/>
      </w:tblGrid>
      <w:tr>
        <w:tc>
          <w:tcPr>
            <w:tcW w:type="dxa" w:w="9360"/>
            <w:shd w:fill="FBF3DF" w:val="clear"/>
            <w:tcMar>
              <w:top w:type="dxa" w:w="120"/>
              <w:left w:type="dxa" w:w="180"/>
              <w:bottom w:type="dxa" w:w="120"/>
              <w:right w:type="dxa" w:w="180"/>
            </w:tcMar>
          </w:tcPr>
          <w:p>
            <w:r/>
            <w:r>
              <w:rPr>
                <w:b/>
                <w:color w:val="8A5A12"/>
              </w:rPr>
              <w:t xml:space="preserve">Submission target: </w:t>
            </w:r>
            <w:r>
              <w:rPr>
                <w:color w:val="54452A"/>
              </w:rPr>
              <w:t>The appointed registered building surveyor, using Form 1 — Application for a Building Permit, prescribed under the Building Act 1993 / Building Regulations 2018, Regulation 24.</w:t>
            </w:r>
          </w:p>
        </w:tc>
      </w:tr>
    </w:tbl>
    <w:p>
      <w:pPr>
        <w:pStyle w:val="Heading2"/>
        <w:spacing w:after="120" w:before="240"/>
      </w:pPr>
      <w:r>
        <w:t>Field-by-field template</w:t>
      </w:r>
    </w:p>
    <w:tbl>
      <w:tblPr>
        <w:tblW w:type="dxa" w:w="9350"/>
        <w:tblLook w:firstColumn="1" w:firstRow="1" w:lastColumn="0" w:lastRow="0" w:noHBand="0" w:noVBand="1" w:val="04A0"/>
        <w:tblW/>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F1B16" w:val="clear"/>
            <w:tcMar>
              <w:top w:type="dxa" w:w="80"/>
              <w:left w:type="dxa" w:w="120"/>
              <w:bottom w:type="dxa" w:w="80"/>
              <w:right w:type="dxa" w:w="120"/>
            </w:tcMar>
          </w:tcPr>
          <w:p>
            <w:r/>
            <w:r>
              <w:rPr>
                <w:b/>
                <w:color w:val="FFFFFF"/>
              </w:rPr>
              <w:t>Field</w:t>
            </w:r>
          </w:p>
        </w:tc>
        <w:tc>
          <w:tcPr>
            <w:tcW w:type="dxa" w:w="6250"/>
            <w:shd w:fill="1F1B16" w:val="clear"/>
            <w:tcMar>
              <w:top w:type="dxa" w:w="80"/>
              <w:left w:type="dxa" w:w="120"/>
              <w:bottom w:type="dxa" w:w="80"/>
              <w:right w:type="dxa" w:w="120"/>
            </w:tcMar>
          </w:tcPr>
          <w:p>
            <w:r/>
            <w:r>
              <w:rPr>
                <w:b/>
                <w:color w:val="FFFFFF"/>
              </w:rPr>
              <w:t>What to fill in / guidance</w:t>
            </w:r>
          </w:p>
        </w:tc>
      </w:tr>
      <w:tr>
        <w:tc>
          <w:tcPr>
            <w:tcW w:type="dxa" w:w="3100"/>
            <w:shd w:fill="F4F2EE" w:val="clear"/>
            <w:tcMar>
              <w:top w:type="dxa" w:w="80"/>
              <w:left w:type="dxa" w:w="120"/>
              <w:bottom w:type="dxa" w:w="80"/>
              <w:right w:type="dxa" w:w="120"/>
            </w:tcMar>
          </w:tcPr>
          <w:p>
            <w:r/>
            <w:r>
              <w:rPr>
                <w:b/>
              </w:rPr>
              <w:t>Property details</w:t>
            </w:r>
          </w:p>
        </w:tc>
        <w:tc>
          <w:tcPr>
            <w:tcW w:type="dxa" w:w="6250"/>
            <w:shd w:fill="F4F2EE" w:val="clear"/>
            <w:tcMar>
              <w:top w:type="dxa" w:w="80"/>
              <w:left w:type="dxa" w:w="120"/>
              <w:bottom w:type="dxa" w:w="80"/>
              <w:right w:type="dxa" w:w="120"/>
            </w:tcMar>
          </w:tcPr>
          <w:p>
            <w:r/>
            <w:r>
              <w:rPr>
                <w:b w:val="0"/>
              </w:rPr>
              <w:t>The job address as it appears on the title (address, lot/plan number, municipal district, allotment area).</w:t>
            </w:r>
          </w:p>
        </w:tc>
      </w:tr>
      <w:tr>
        <w:tc>
          <w:tcPr>
            <w:tcW w:type="dxa" w:w="3100"/>
            <w:shd w:fill="FFFFFF" w:val="clear"/>
            <w:tcMar>
              <w:top w:type="dxa" w:w="80"/>
              <w:left w:type="dxa" w:w="120"/>
              <w:bottom w:type="dxa" w:w="80"/>
              <w:right w:type="dxa" w:w="120"/>
            </w:tcMar>
          </w:tcPr>
          <w:p>
            <w:r/>
            <w:r>
              <w:rPr>
                <w:b/>
              </w:rPr>
              <w:t>Applicant</w:t>
            </w:r>
          </w:p>
        </w:tc>
        <w:tc>
          <w:tcPr>
            <w:tcW w:type="dxa" w:w="6250"/>
            <w:shd w:fill="FFFFFF" w:val="clear"/>
            <w:tcMar>
              <w:top w:type="dxa" w:w="80"/>
              <w:left w:type="dxa" w:w="120"/>
              <w:bottom w:type="dxa" w:w="80"/>
              <w:right w:type="dxa" w:w="120"/>
            </w:tcMar>
          </w:tcPr>
          <w:p>
            <w:r/>
            <w:r>
              <w:rPr>
                <w:b w:val="0"/>
              </w:rPr>
              <w:t>Whoever is lodging the application — owner or agent (name, ABN/ACN, postal address, phone, email, contact person).</w:t>
            </w:r>
          </w:p>
        </w:tc>
      </w:tr>
      <w:tr>
        <w:tc>
          <w:tcPr>
            <w:tcW w:type="dxa" w:w="3100"/>
            <w:shd w:fill="F4F2EE" w:val="clear"/>
            <w:tcMar>
              <w:top w:type="dxa" w:w="80"/>
              <w:left w:type="dxa" w:w="120"/>
              <w:bottom w:type="dxa" w:w="80"/>
              <w:right w:type="dxa" w:w="120"/>
            </w:tcMar>
          </w:tcPr>
          <w:p>
            <w:r/>
            <w:r>
              <w:rPr>
                <w:b/>
              </w:rPr>
              <w:t>Applicant type: Owner / Agent of owner</w:t>
            </w:r>
          </w:p>
        </w:tc>
        <w:tc>
          <w:tcPr>
            <w:tcW w:type="dxa" w:w="6250"/>
            <w:shd w:fill="F4F2EE" w:val="clear"/>
            <w:tcMar>
              <w:top w:type="dxa" w:w="80"/>
              <w:left w:type="dxa" w:w="120"/>
              <w:bottom w:type="dxa" w:w="80"/>
              <w:right w:type="dxa" w:w="120"/>
            </w:tcMar>
          </w:tcPr>
          <w:p>
            <w:r/>
            <w:r>
              <w:rPr>
                <w:b w:val="0"/>
              </w:rPr>
              <w:t>Tick as applicable; if agent, the separate Ownership Details section (owner name, address, contact) must also be completed.</w:t>
            </w:r>
          </w:p>
        </w:tc>
      </w:tr>
      <w:tr>
        <w:tc>
          <w:tcPr>
            <w:tcW w:type="dxa" w:w="3100"/>
            <w:shd w:fill="FFFFFF" w:val="clear"/>
            <w:tcMar>
              <w:top w:type="dxa" w:w="80"/>
              <w:left w:type="dxa" w:w="120"/>
              <w:bottom w:type="dxa" w:w="80"/>
              <w:right w:type="dxa" w:w="120"/>
            </w:tcMar>
          </w:tcPr>
          <w:p>
            <w:r/>
            <w:r>
              <w:rPr>
                <w:b/>
              </w:rPr>
              <w:t>Builder</w:t>
            </w:r>
          </w:p>
        </w:tc>
        <w:tc>
          <w:tcPr>
            <w:tcW w:type="dxa" w:w="6250"/>
            <w:shd w:fill="FFFFFF" w:val="clear"/>
            <w:tcMar>
              <w:top w:type="dxa" w:w="80"/>
              <w:left w:type="dxa" w:w="120"/>
              <w:bottom w:type="dxa" w:w="80"/>
              <w:right w:type="dxa" w:w="120"/>
            </w:tcMar>
          </w:tcPr>
          <w:p>
            <w:r/>
            <w:r>
              <w:rPr>
                <w:b w:val="0"/>
              </w:rPr>
              <w:t>Only if a registered builder is engaged (name, ABN/ACN, registration number, contact details); left blank on a pure owner-builder job with no builder appointed yet.</w:t>
            </w:r>
          </w:p>
        </w:tc>
      </w:tr>
      <w:tr>
        <w:tc>
          <w:tcPr>
            <w:tcW w:type="dxa" w:w="3100"/>
            <w:shd w:fill="F4F2EE" w:val="clear"/>
            <w:tcMar>
              <w:top w:type="dxa" w:w="80"/>
              <w:left w:type="dxa" w:w="120"/>
              <w:bottom w:type="dxa" w:w="80"/>
              <w:right w:type="dxa" w:w="120"/>
            </w:tcMar>
          </w:tcPr>
          <w:p>
            <w:r/>
            <w:r>
              <w:rPr>
                <w:b/>
              </w:rPr>
              <w:t>Building practitioners / architect</w:t>
            </w:r>
          </w:p>
        </w:tc>
        <w:tc>
          <w:tcPr>
            <w:tcW w:type="dxa" w:w="6250"/>
            <w:shd w:fill="F4F2EE" w:val="clear"/>
            <w:tcMar>
              <w:top w:type="dxa" w:w="80"/>
              <w:left w:type="dxa" w:w="120"/>
              <w:bottom w:type="dxa" w:w="80"/>
              <w:right w:type="dxa" w:w="120"/>
            </w:tcMar>
          </w:tcPr>
          <w:p>
            <w:r/>
            <w:r>
              <w:rPr>
                <w:b w:val="0"/>
              </w:rPr>
              <w:t>Whoever prepared the plans or engineering for the job — building designer and engineer, each with name, category/class, registration number.</w:t>
            </w:r>
          </w:p>
        </w:tc>
      </w:tr>
      <w:tr>
        <w:tc>
          <w:tcPr>
            <w:tcW w:type="dxa" w:w="3100"/>
            <w:shd w:fill="FFFFFF" w:val="clear"/>
            <w:tcMar>
              <w:top w:type="dxa" w:w="80"/>
              <w:left w:type="dxa" w:w="120"/>
              <w:bottom w:type="dxa" w:w="80"/>
              <w:right w:type="dxa" w:w="120"/>
            </w:tcMar>
          </w:tcPr>
          <w:p>
            <w:r/>
            <w:r>
              <w:rPr>
                <w:b/>
              </w:rPr>
              <w:t>Nature of building work</w:t>
            </w:r>
          </w:p>
        </w:tc>
        <w:tc>
          <w:tcPr>
            <w:tcW w:type="dxa" w:w="6250"/>
            <w:shd w:fill="FFFFFF" w:val="clear"/>
            <w:tcMar>
              <w:top w:type="dxa" w:w="80"/>
              <w:left w:type="dxa" w:w="120"/>
              <w:bottom w:type="dxa" w:w="80"/>
              <w:right w:type="dxa" w:w="120"/>
            </w:tcMar>
          </w:tcPr>
          <w:p>
            <w:r/>
            <w:r>
              <w:rPr>
                <w:b w:val="0"/>
              </w:rPr>
              <w:t>Tick the box matching the actual scope: new building, extension, alteration, demolition, removal, re-erection, change of use, pool/spa, pool barrier, or other.</w:t>
            </w:r>
          </w:p>
        </w:tc>
      </w:tr>
      <w:tr>
        <w:tc>
          <w:tcPr>
            <w:tcW w:type="dxa" w:w="3100"/>
            <w:shd w:fill="F4F2EE" w:val="clear"/>
            <w:tcMar>
              <w:top w:type="dxa" w:w="80"/>
              <w:left w:type="dxa" w:w="120"/>
              <w:bottom w:type="dxa" w:w="80"/>
              <w:right w:type="dxa" w:w="120"/>
            </w:tcMar>
          </w:tcPr>
          <w:p>
            <w:r/>
            <w:r>
              <w:rPr>
                <w:b/>
              </w:rPr>
              <w:t>Proposed use of building</w:t>
            </w:r>
          </w:p>
        </w:tc>
        <w:tc>
          <w:tcPr>
            <w:tcW w:type="dxa" w:w="6250"/>
            <w:shd w:fill="F4F2EE" w:val="clear"/>
            <w:tcMar>
              <w:top w:type="dxa" w:w="80"/>
              <w:left w:type="dxa" w:w="120"/>
              <w:bottom w:type="dxa" w:w="80"/>
              <w:right w:type="dxa" w:w="120"/>
            </w:tcMar>
          </w:tcPr>
          <w:p>
            <w:r/>
            <w:r>
              <w:rPr>
                <w:b w:val="0"/>
              </w:rPr>
              <w:t>E.g. “Single dwelling,” unchanged unless the renovation changes use.</w:t>
            </w:r>
          </w:p>
        </w:tc>
      </w:tr>
      <w:tr>
        <w:tc>
          <w:tcPr>
            <w:tcW w:type="dxa" w:w="3100"/>
            <w:shd w:fill="FFFFFF" w:val="clear"/>
            <w:tcMar>
              <w:top w:type="dxa" w:w="80"/>
              <w:left w:type="dxa" w:w="120"/>
              <w:bottom w:type="dxa" w:w="80"/>
              <w:right w:type="dxa" w:w="120"/>
            </w:tcMar>
          </w:tcPr>
          <w:p>
            <w:r/>
            <w:r>
              <w:rPr>
                <w:b/>
              </w:rPr>
              <w:t>Cost of building work (inclusive of GST)</w:t>
            </w:r>
          </w:p>
        </w:tc>
        <w:tc>
          <w:tcPr>
            <w:tcW w:type="dxa" w:w="6250"/>
            <w:shd w:fill="FFFFFF" w:val="clear"/>
            <w:tcMar>
              <w:top w:type="dxa" w:w="80"/>
              <w:left w:type="dxa" w:w="120"/>
              <w:bottom w:type="dxa" w:w="80"/>
              <w:right w:type="dxa" w:w="120"/>
            </w:tcMar>
          </w:tcPr>
          <w:p>
            <w:r/>
            <w:r>
              <w:rPr>
                <w:b w:val="0"/>
              </w:rPr>
              <w:t>The estimated total job value — this is the figure the $10,000 and $20,000 checklist thresholds are compared against.</w:t>
            </w:r>
          </w:p>
        </w:tc>
      </w:tr>
      <w:tr>
        <w:tc>
          <w:tcPr>
            <w:tcW w:type="dxa" w:w="3100"/>
            <w:shd w:fill="F4F2EE" w:val="clear"/>
            <w:tcMar>
              <w:top w:type="dxa" w:w="80"/>
              <w:left w:type="dxa" w:w="120"/>
              <w:bottom w:type="dxa" w:w="80"/>
              <w:right w:type="dxa" w:w="120"/>
            </w:tcMar>
          </w:tcPr>
          <w:p>
            <w:r/>
            <w:r>
              <w:rPr>
                <w:b/>
              </w:rPr>
              <w:t>Contract or agreement details</w:t>
            </w:r>
          </w:p>
        </w:tc>
        <w:tc>
          <w:tcPr>
            <w:tcW w:type="dxa" w:w="6250"/>
            <w:shd w:fill="F4F2EE" w:val="clear"/>
            <w:tcMar>
              <w:top w:type="dxa" w:w="80"/>
              <w:left w:type="dxa" w:w="120"/>
              <w:bottom w:type="dxa" w:w="80"/>
              <w:right w:type="dxa" w:w="120"/>
            </w:tcMar>
          </w:tcPr>
          <w:p>
            <w:r/>
            <w:r>
              <w:rPr>
                <w:b w:val="0"/>
              </w:rPr>
              <w:t>Yes/No; if a registered builder is engaged with a fixed-price contract, the contract price goes here (or the cost-plus estimate, plus any excluded items).</w:t>
            </w:r>
          </w:p>
        </w:tc>
      </w:tr>
      <w:tr>
        <w:tc>
          <w:tcPr>
            <w:tcW w:type="dxa" w:w="3100"/>
            <w:shd w:fill="FFFFFF" w:val="clear"/>
            <w:tcMar>
              <w:top w:type="dxa" w:w="80"/>
              <w:left w:type="dxa" w:w="120"/>
              <w:bottom w:type="dxa" w:w="80"/>
              <w:right w:type="dxa" w:w="120"/>
            </w:tcMar>
          </w:tcPr>
          <w:p>
            <w:r/>
            <w:r>
              <w:rPr>
                <w:b/>
              </w:rPr>
              <w:t>Owner-builder section</w:t>
            </w:r>
          </w:p>
        </w:tc>
        <w:tc>
          <w:tcPr>
            <w:tcW w:type="dxa" w:w="6250"/>
            <w:shd w:fill="FFFFFF" w:val="clear"/>
            <w:tcMar>
              <w:top w:type="dxa" w:w="80"/>
              <w:left w:type="dxa" w:w="120"/>
              <w:bottom w:type="dxa" w:w="80"/>
              <w:right w:type="dxa" w:w="120"/>
            </w:tcMar>
          </w:tcPr>
          <w:p>
            <w:r/>
            <w:r>
              <w:rPr>
                <w:b w:val="0"/>
              </w:rPr>
              <w:t>Only completed if going the owner-builder route: Yes/No, the Certificate of Consent number if applicable, the owner-builder’s cost estimate, and whether sub-trades will be engaged. Filed after the Certificate of Consent exists (Item 4 below), not before.</w:t>
            </w:r>
          </w:p>
        </w:tc>
      </w:tr>
      <w:tr>
        <w:tc>
          <w:tcPr>
            <w:tcW w:type="dxa" w:w="3100"/>
            <w:shd w:fill="F4F2EE" w:val="clear"/>
            <w:tcMar>
              <w:top w:type="dxa" w:w="80"/>
              <w:left w:type="dxa" w:w="120"/>
              <w:bottom w:type="dxa" w:w="80"/>
              <w:right w:type="dxa" w:w="120"/>
            </w:tcMar>
          </w:tcPr>
          <w:p>
            <w:r/>
            <w:r>
              <w:rPr>
                <w:b/>
              </w:rPr>
              <w:t>Special considerations</w:t>
            </w:r>
          </w:p>
        </w:tc>
        <w:tc>
          <w:tcPr>
            <w:tcW w:type="dxa" w:w="6250"/>
            <w:shd w:fill="F4F2EE" w:val="clear"/>
            <w:tcMar>
              <w:top w:type="dxa" w:w="80"/>
              <w:left w:type="dxa" w:w="120"/>
              <w:bottom w:type="dxa" w:w="80"/>
              <w:right w:type="dxa" w:w="120"/>
            </w:tcMar>
          </w:tcPr>
          <w:p>
            <w:r/>
            <w:r>
              <w:rPr>
                <w:b w:val="0"/>
              </w:rPr>
              <w:t>Multi-class building, social housing, emergency-recovery reconstruction — only relevant to a small subset of jobs; leave blank for an ordinary residential renovation.</w:t>
            </w:r>
          </w:p>
        </w:tc>
      </w:tr>
      <w:tr>
        <w:tc>
          <w:tcPr>
            <w:tcW w:type="dxa" w:w="3100"/>
            <w:shd w:fill="FFFFFF" w:val="clear"/>
            <w:tcMar>
              <w:top w:type="dxa" w:w="80"/>
              <w:left w:type="dxa" w:w="120"/>
              <w:bottom w:type="dxa" w:w="80"/>
              <w:right w:type="dxa" w:w="120"/>
            </w:tcMar>
          </w:tcPr>
          <w:p>
            <w:r/>
            <w:r>
              <w:rPr>
                <w:b/>
              </w:rPr>
              <w:t>Conditions of appointment acknowledgement</w:t>
            </w:r>
          </w:p>
        </w:tc>
        <w:tc>
          <w:tcPr>
            <w:tcW w:type="dxa" w:w="6250"/>
            <w:shd w:fill="FFFFFF" w:val="clear"/>
            <w:tcMar>
              <w:top w:type="dxa" w:w="80"/>
              <w:left w:type="dxa" w:w="120"/>
              <w:bottom w:type="dxa" w:w="80"/>
              <w:right w:type="dxa" w:w="120"/>
            </w:tcMar>
          </w:tcPr>
          <w:p>
            <w:r/>
            <w:r>
              <w:rPr>
                <w:b w:val="0"/>
              </w:rPr>
              <w:t>Standard acknowledgements: no other current surveyor appointment, no outstanding building notices, fees payable regardless of outcome.</w:t>
            </w:r>
          </w:p>
        </w:tc>
      </w:tr>
      <w:tr>
        <w:tc>
          <w:tcPr>
            <w:tcW w:type="dxa" w:w="3100"/>
            <w:shd w:fill="F4F2EE" w:val="clear"/>
            <w:tcMar>
              <w:top w:type="dxa" w:w="80"/>
              <w:left w:type="dxa" w:w="120"/>
              <w:bottom w:type="dxa" w:w="80"/>
              <w:right w:type="dxa" w:w="120"/>
            </w:tcMar>
          </w:tcPr>
          <w:p>
            <w:r/>
            <w:r>
              <w:rPr>
                <w:b/>
              </w:rPr>
              <w:t>Signature of applicant + date</w:t>
            </w:r>
          </w:p>
        </w:tc>
        <w:tc>
          <w:tcPr>
            <w:tcW w:type="dxa" w:w="6250"/>
            <w:shd w:fill="F4F2EE" w:val="clear"/>
            <w:tcMar>
              <w:top w:type="dxa" w:w="80"/>
              <w:left w:type="dxa" w:w="120"/>
              <w:bottom w:type="dxa" w:w="80"/>
              <w:right w:type="dxa" w:w="120"/>
            </w:tcMar>
          </w:tcPr>
          <w:p>
            <w:r/>
            <w:r>
              <w:rPr>
                <w:b w:val="0"/>
              </w:rPr>
              <w:t>The owner or their agent signs.</w:t>
            </w:r>
          </w:p>
        </w:tc>
      </w:tr>
    </w:tbl>
    <w:p>
      <w:pPr>
        <w:spacing w:after="160"/>
      </w:pPr>
      <w:r>
        <w:rPr>
          <w:color w:val="5B554A"/>
        </w:rPr>
        <w:t>Source: Form 1 — Application for a Building Permit (Building Surveying Victoria copy); regulatory basis at Building Regulations 2018, Reg 24 (AustLII). The exact PDF layout varies slightly by which building surveyor issues it (a few councils host slightly older versions), but the fields above are what Regulation 24 requires the form to capture.</w:t>
      </w:r>
    </w:p>
    <w:p>
      <w:pPr>
        <w:pStyle w:val="Heading2"/>
        <w:spacing w:after="120" w:before="240"/>
      </w:pPr>
      <w:r>
        <w:t>Worked example (mocked demo data, not a real submission)</w:t>
      </w:r>
    </w:p>
    <w:tbl>
      <w:tblPr>
        <w:tblW w:type="dxa" w:w="9350"/>
        <w:tblLook w:firstColumn="1" w:firstRow="1" w:lastColumn="0" w:lastRow="0" w:noHBand="0" w:noVBand="1" w:val="04A0"/>
        <w:tblW/>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8A5A12" w:val="clear"/>
            <w:tcMar>
              <w:top w:type="dxa" w:w="80"/>
              <w:left w:type="dxa" w:w="120"/>
              <w:bottom w:type="dxa" w:w="80"/>
              <w:right w:type="dxa" w:w="120"/>
            </w:tcMar>
          </w:tcPr>
          <w:p>
            <w:r/>
            <w:r>
              <w:rPr>
                <w:b/>
                <w:color w:val="FFFFFF"/>
              </w:rPr>
              <w:t>Field</w:t>
            </w:r>
          </w:p>
        </w:tc>
        <w:tc>
          <w:tcPr>
            <w:tcW w:type="dxa" w:w="6250"/>
            <w:shd w:fill="8A5A12" w:val="clear"/>
            <w:tcMar>
              <w:top w:type="dxa" w:w="80"/>
              <w:left w:type="dxa" w:w="120"/>
              <w:bottom w:type="dxa" w:w="80"/>
              <w:right w:type="dxa" w:w="120"/>
            </w:tcMar>
          </w:tcPr>
          <w:p>
            <w:r/>
            <w:r>
              <w:rPr>
                <w:b/>
                <w:color w:val="FFFFFF"/>
              </w:rPr>
              <w:t>Ironbark Site Services demo value</w:t>
            </w:r>
          </w:p>
        </w:tc>
      </w:tr>
      <w:tr>
        <w:tc>
          <w:tcPr>
            <w:tcW w:type="dxa" w:w="3100"/>
            <w:shd w:fill="F4F2EE" w:val="clear"/>
            <w:tcMar>
              <w:top w:type="dxa" w:w="80"/>
              <w:left w:type="dxa" w:w="120"/>
              <w:bottom w:type="dxa" w:w="80"/>
              <w:right w:type="dxa" w:w="120"/>
            </w:tcMar>
          </w:tcPr>
          <w:p>
            <w:r/>
            <w:r>
              <w:rPr>
                <w:b/>
              </w:rPr>
              <w:t>Property details</w:t>
            </w:r>
          </w:p>
        </w:tc>
        <w:tc>
          <w:tcPr>
            <w:tcW w:type="dxa" w:w="6250"/>
            <w:shd w:fill="F4F2EE" w:val="clear"/>
            <w:tcMar>
              <w:top w:type="dxa" w:w="80"/>
              <w:left w:type="dxa" w:w="120"/>
              <w:bottom w:type="dxa" w:w="80"/>
              <w:right w:type="dxa" w:w="120"/>
            </w:tcMar>
          </w:tcPr>
          <w:p>
            <w:r/>
            <w:r>
              <w:rPr>
                <w:b w:val="0"/>
              </w:rPr>
              <w:t>8 Banksia Street, Pakenham VIC 3810 (fictional demo address)</w:t>
            </w:r>
          </w:p>
        </w:tc>
      </w:tr>
      <w:tr>
        <w:tc>
          <w:tcPr>
            <w:tcW w:type="dxa" w:w="3100"/>
            <w:shd w:fill="FFFFFF" w:val="clear"/>
            <w:tcMar>
              <w:top w:type="dxa" w:w="80"/>
              <w:left w:type="dxa" w:w="120"/>
              <w:bottom w:type="dxa" w:w="80"/>
              <w:right w:type="dxa" w:w="120"/>
            </w:tcMar>
          </w:tcPr>
          <w:p>
            <w:r/>
            <w:r>
              <w:rPr>
                <w:b/>
              </w:rPr>
              <w:t>Applicant</w:t>
            </w:r>
          </w:p>
        </w:tc>
        <w:tc>
          <w:tcPr>
            <w:tcW w:type="dxa" w:w="6250"/>
            <w:shd w:fill="FFFFFF" w:val="clear"/>
            <w:tcMar>
              <w:top w:type="dxa" w:w="80"/>
              <w:left w:type="dxa" w:w="120"/>
              <w:bottom w:type="dxa" w:w="80"/>
              <w:right w:type="dxa" w:w="120"/>
            </w:tcMar>
          </w:tcPr>
          <w:p>
            <w:r/>
            <w:r>
              <w:rPr>
                <w:b w:val="0"/>
              </w:rPr>
              <w:t>J. Alvarez (owner)</w:t>
            </w:r>
          </w:p>
        </w:tc>
      </w:tr>
      <w:tr>
        <w:tc>
          <w:tcPr>
            <w:tcW w:type="dxa" w:w="3100"/>
            <w:shd w:fill="F4F2EE" w:val="clear"/>
            <w:tcMar>
              <w:top w:type="dxa" w:w="80"/>
              <w:left w:type="dxa" w:w="120"/>
              <w:bottom w:type="dxa" w:w="80"/>
              <w:right w:type="dxa" w:w="120"/>
            </w:tcMar>
          </w:tcPr>
          <w:p>
            <w:r/>
            <w:r>
              <w:rPr>
                <w:b/>
              </w:rPr>
              <w:t>Applicant type</w:t>
            </w:r>
          </w:p>
        </w:tc>
        <w:tc>
          <w:tcPr>
            <w:tcW w:type="dxa" w:w="6250"/>
            <w:shd w:fill="F4F2EE" w:val="clear"/>
            <w:tcMar>
              <w:top w:type="dxa" w:w="80"/>
              <w:left w:type="dxa" w:w="120"/>
              <w:bottom w:type="dxa" w:w="80"/>
              <w:right w:type="dxa" w:w="120"/>
            </w:tcMar>
          </w:tcPr>
          <w:p>
            <w:r/>
            <w:r>
              <w:rPr>
                <w:b w:val="0"/>
              </w:rPr>
              <w:t>Owner</w:t>
            </w:r>
          </w:p>
        </w:tc>
      </w:tr>
      <w:tr>
        <w:tc>
          <w:tcPr>
            <w:tcW w:type="dxa" w:w="3100"/>
            <w:shd w:fill="FFFFFF" w:val="clear"/>
            <w:tcMar>
              <w:top w:type="dxa" w:w="80"/>
              <w:left w:type="dxa" w:w="120"/>
              <w:bottom w:type="dxa" w:w="80"/>
              <w:right w:type="dxa" w:w="120"/>
            </w:tcMar>
          </w:tcPr>
          <w:p>
            <w:r/>
            <w:r>
              <w:rPr>
                <w:b/>
              </w:rPr>
              <w:t>Builder</w:t>
            </w:r>
          </w:p>
        </w:tc>
        <w:tc>
          <w:tcPr>
            <w:tcW w:type="dxa" w:w="6250"/>
            <w:shd w:fill="FFFFFF" w:val="clear"/>
            <w:tcMar>
              <w:top w:type="dxa" w:w="80"/>
              <w:left w:type="dxa" w:w="120"/>
              <w:bottom w:type="dxa" w:w="80"/>
              <w:right w:type="dxa" w:w="120"/>
            </w:tcMar>
          </w:tcPr>
          <w:p>
            <w:r/>
            <w:r>
              <w:rPr>
                <w:b w:val="0"/>
              </w:rPr>
              <w:t>Ironbark Site Services, registration DB-U 48213, contact M. Novak</w:t>
            </w:r>
          </w:p>
        </w:tc>
      </w:tr>
      <w:tr>
        <w:tc>
          <w:tcPr>
            <w:tcW w:type="dxa" w:w="3100"/>
            <w:shd w:fill="F4F2EE" w:val="clear"/>
            <w:tcMar>
              <w:top w:type="dxa" w:w="80"/>
              <w:left w:type="dxa" w:w="120"/>
              <w:bottom w:type="dxa" w:w="80"/>
              <w:right w:type="dxa" w:w="120"/>
            </w:tcMar>
          </w:tcPr>
          <w:p>
            <w:r/>
            <w:r>
              <w:rPr>
                <w:b/>
              </w:rPr>
              <w:t>Building practitioners</w:t>
            </w:r>
          </w:p>
        </w:tc>
        <w:tc>
          <w:tcPr>
            <w:tcW w:type="dxa" w:w="6250"/>
            <w:shd w:fill="F4F2EE" w:val="clear"/>
            <w:tcMar>
              <w:top w:type="dxa" w:w="80"/>
              <w:left w:type="dxa" w:w="120"/>
              <w:bottom w:type="dxa" w:w="80"/>
              <w:right w:type="dxa" w:w="120"/>
            </w:tcMar>
          </w:tcPr>
          <w:p>
            <w:r/>
            <w:r>
              <w:rPr>
                <w:b w:val="0"/>
              </w:rPr>
              <w:t>Building designer: R. Kaur, Cat. DP-DD, Reg. DP-12345</w:t>
            </w:r>
          </w:p>
        </w:tc>
      </w:tr>
      <w:tr>
        <w:tc>
          <w:tcPr>
            <w:tcW w:type="dxa" w:w="3100"/>
            <w:shd w:fill="FFFFFF" w:val="clear"/>
            <w:tcMar>
              <w:top w:type="dxa" w:w="80"/>
              <w:left w:type="dxa" w:w="120"/>
              <w:bottom w:type="dxa" w:w="80"/>
              <w:right w:type="dxa" w:w="120"/>
            </w:tcMar>
          </w:tcPr>
          <w:p>
            <w:r/>
            <w:r>
              <w:rPr>
                <w:b/>
              </w:rPr>
              <w:t>Nature of building work</w:t>
            </w:r>
          </w:p>
        </w:tc>
        <w:tc>
          <w:tcPr>
            <w:tcW w:type="dxa" w:w="6250"/>
            <w:shd w:fill="FFFFFF" w:val="clear"/>
            <w:tcMar>
              <w:top w:type="dxa" w:w="80"/>
              <w:left w:type="dxa" w:w="120"/>
              <w:bottom w:type="dxa" w:w="80"/>
              <w:right w:type="dxa" w:w="120"/>
            </w:tcMar>
          </w:tcPr>
          <w:p>
            <w:r/>
            <w:r>
              <w:rPr>
                <w:b w:val="0"/>
              </w:rPr>
              <w:t>Extension to an existing building</w:t>
            </w:r>
          </w:p>
        </w:tc>
      </w:tr>
      <w:tr>
        <w:tc>
          <w:tcPr>
            <w:tcW w:type="dxa" w:w="3100"/>
            <w:shd w:fill="F4F2EE" w:val="clear"/>
            <w:tcMar>
              <w:top w:type="dxa" w:w="80"/>
              <w:left w:type="dxa" w:w="120"/>
              <w:bottom w:type="dxa" w:w="80"/>
              <w:right w:type="dxa" w:w="120"/>
            </w:tcMar>
          </w:tcPr>
          <w:p>
            <w:r/>
            <w:r>
              <w:rPr>
                <w:b/>
              </w:rPr>
              <w:t>Proposed use of building</w:t>
            </w:r>
          </w:p>
        </w:tc>
        <w:tc>
          <w:tcPr>
            <w:tcW w:type="dxa" w:w="6250"/>
            <w:shd w:fill="F4F2EE" w:val="clear"/>
            <w:tcMar>
              <w:top w:type="dxa" w:w="80"/>
              <w:left w:type="dxa" w:w="120"/>
              <w:bottom w:type="dxa" w:w="80"/>
              <w:right w:type="dxa" w:w="120"/>
            </w:tcMar>
          </w:tcPr>
          <w:p>
            <w:r/>
            <w:r>
              <w:rPr>
                <w:b w:val="0"/>
              </w:rPr>
              <w:t>Single dwelling (unchanged)</w:t>
            </w:r>
          </w:p>
        </w:tc>
      </w:tr>
      <w:tr>
        <w:tc>
          <w:tcPr>
            <w:tcW w:type="dxa" w:w="3100"/>
            <w:shd w:fill="FFFFFF" w:val="clear"/>
            <w:tcMar>
              <w:top w:type="dxa" w:w="80"/>
              <w:left w:type="dxa" w:w="120"/>
              <w:bottom w:type="dxa" w:w="80"/>
              <w:right w:type="dxa" w:w="120"/>
            </w:tcMar>
          </w:tcPr>
          <w:p>
            <w:r/>
            <w:r>
              <w:rPr>
                <w:b/>
              </w:rPr>
              <w:t>Cost of building work</w:t>
            </w:r>
          </w:p>
        </w:tc>
        <w:tc>
          <w:tcPr>
            <w:tcW w:type="dxa" w:w="6250"/>
            <w:shd w:fill="FFFFFF" w:val="clear"/>
            <w:tcMar>
              <w:top w:type="dxa" w:w="80"/>
              <w:left w:type="dxa" w:w="120"/>
              <w:bottom w:type="dxa" w:w="80"/>
              <w:right w:type="dxa" w:w="120"/>
            </w:tcMar>
          </w:tcPr>
          <w:p>
            <w:r/>
            <w:r>
              <w:rPr>
                <w:b w:val="0"/>
              </w:rPr>
              <w:t>$34,500 (inclusive of GST)</w:t>
            </w:r>
          </w:p>
        </w:tc>
      </w:tr>
      <w:tr>
        <w:tc>
          <w:tcPr>
            <w:tcW w:type="dxa" w:w="3100"/>
            <w:shd w:fill="F4F2EE" w:val="clear"/>
            <w:tcMar>
              <w:top w:type="dxa" w:w="80"/>
              <w:left w:type="dxa" w:w="120"/>
              <w:bottom w:type="dxa" w:w="80"/>
              <w:right w:type="dxa" w:w="120"/>
            </w:tcMar>
          </w:tcPr>
          <w:p>
            <w:r/>
            <w:r>
              <w:rPr>
                <w:b/>
              </w:rPr>
              <w:t>Contract or agreement</w:t>
            </w:r>
          </w:p>
        </w:tc>
        <w:tc>
          <w:tcPr>
            <w:tcW w:type="dxa" w:w="6250"/>
            <w:shd w:fill="F4F2EE" w:val="clear"/>
            <w:tcMar>
              <w:top w:type="dxa" w:w="80"/>
              <w:left w:type="dxa" w:w="120"/>
              <w:bottom w:type="dxa" w:w="80"/>
              <w:right w:type="dxa" w:w="120"/>
            </w:tcMar>
          </w:tcPr>
          <w:p>
            <w:r/>
            <w:r>
              <w:rPr>
                <w:b w:val="0"/>
              </w:rPr>
              <w:t>Yes — fixed-price contract, $34,500</w:t>
            </w:r>
          </w:p>
        </w:tc>
      </w:tr>
      <w:tr>
        <w:tc>
          <w:tcPr>
            <w:tcW w:type="dxa" w:w="3100"/>
            <w:shd w:fill="FFFFFF" w:val="clear"/>
            <w:tcMar>
              <w:top w:type="dxa" w:w="80"/>
              <w:left w:type="dxa" w:w="120"/>
              <w:bottom w:type="dxa" w:w="80"/>
              <w:right w:type="dxa" w:w="120"/>
            </w:tcMar>
          </w:tcPr>
          <w:p>
            <w:r/>
            <w:r>
              <w:rPr>
                <w:b/>
              </w:rPr>
              <w:t>Owner-builder section</w:t>
            </w:r>
          </w:p>
        </w:tc>
        <w:tc>
          <w:tcPr>
            <w:tcW w:type="dxa" w:w="6250"/>
            <w:shd w:fill="FFFFFF" w:val="clear"/>
            <w:tcMar>
              <w:top w:type="dxa" w:w="80"/>
              <w:left w:type="dxa" w:w="120"/>
              <w:bottom w:type="dxa" w:w="80"/>
              <w:right w:type="dxa" w:w="120"/>
            </w:tcMar>
          </w:tcPr>
          <w:p>
            <w:r/>
            <w:r>
              <w:rPr>
                <w:b w:val="0"/>
              </w:rPr>
              <w:t>No (registered builder engaged)</w:t>
            </w:r>
          </w:p>
        </w:tc>
      </w:tr>
      <w:tr>
        <w:tc>
          <w:tcPr>
            <w:tcW w:type="dxa" w:w="3100"/>
            <w:shd w:fill="F4F2EE" w:val="clear"/>
            <w:tcMar>
              <w:top w:type="dxa" w:w="80"/>
              <w:left w:type="dxa" w:w="120"/>
              <w:bottom w:type="dxa" w:w="80"/>
              <w:right w:type="dxa" w:w="120"/>
            </w:tcMar>
          </w:tcPr>
          <w:p>
            <w:r/>
            <w:r>
              <w:rPr>
                <w:b/>
              </w:rPr>
              <w:t>Signature</w:t>
            </w:r>
          </w:p>
        </w:tc>
        <w:tc>
          <w:tcPr>
            <w:tcW w:type="dxa" w:w="6250"/>
            <w:shd w:fill="F4F2EE" w:val="clear"/>
            <w:tcMar>
              <w:top w:type="dxa" w:w="80"/>
              <w:left w:type="dxa" w:w="120"/>
              <w:bottom w:type="dxa" w:w="80"/>
              <w:right w:type="dxa" w:w="120"/>
            </w:tcMar>
          </w:tcPr>
          <w:p>
            <w:r/>
            <w:r>
              <w:rPr>
                <w:b w:val="0"/>
              </w:rPr>
              <w:t>J. Alvarez, 19 Sep 2026</w:t>
            </w:r>
          </w:p>
        </w:tc>
      </w:tr>
    </w:tbl>
    <w:p>
      <w:pPr>
        <w:pStyle w:val="Heading2"/>
        <w:spacing w:after="120" w:before="240"/>
      </w:pPr>
      <w:r>
        <w:t>Sources</w:t>
      </w:r>
    </w:p>
    <w:p>
      <w:pPr>
        <w:pStyle w:val="ListParagraph"/>
        <w:numPr>
          <w:ilvl w:val="0"/>
          <w:numId w:val="2"/>
        </w:numPr>
        <w:spacing w:after="80"/>
      </w:pPr>
      <w:hyperlink r:id="rId7">
        <w:r>
          <w:rPr>
            <w:rStyle w:val="Hyperlink"/>
          </w:rPr>
          <w:t xml:space="preserve">Form 1 — Application for a Building Permit (Building Surveying Victoria)</w:t>
        </w:r>
      </w:hyperlink>
    </w:p>
    <w:p>
      <w:pPr>
        <w:pStyle w:val="ListParagraph"/>
        <w:numPr>
          <w:ilvl w:val="0"/>
          <w:numId w:val="2"/>
        </w:numPr>
        <w:spacing w:after="80"/>
      </w:pPr>
      <w:hyperlink r:id="rId8">
        <w:r>
          <w:rPr>
            <w:rStyle w:val="Hyperlink"/>
          </w:rPr>
          <w:t xml:space="preserve">Form 1 — Application for a Building Permit (Central Goldfields Shire copy)</w:t>
        </w:r>
      </w:hyperlink>
    </w:p>
    <w:p>
      <w:pPr>
        <w:pStyle w:val="ListParagraph"/>
        <w:numPr>
          <w:ilvl w:val="0"/>
          <w:numId w:val="2"/>
        </w:numPr>
        <w:spacing w:after="80"/>
      </w:pPr>
      <w:hyperlink r:id="rId9">
        <w:r>
          <w:rPr>
            <w:rStyle w:val="Hyperlink"/>
          </w:rPr>
          <w:t xml:space="preserve">Building Regulations 2018, Reg 24 — Applications for building permits (AustLII)</w:t>
        </w:r>
      </w:hyperlink>
    </w:p>
    <w:p>
      <w:r>
        <w:br w:type="page"/>
      </w:r>
    </w:p>
    <w:p>
      <w:pPr>
        <w:pStyle w:val="Heading1"/>
        <w:spacing w:after="160" w:before="320"/>
      </w:pPr>
      <w:r>
        <w:t>4. Certificate of Consent — Carpentry &amp; Renovation (Owner-Builder Path)</w:t>
      </w:r>
    </w:p>
    <w:p>
      <w:pPr>
        <w:pStyle w:val="Heading2"/>
        <w:spacing w:after="120" w:before="240"/>
      </w:pPr>
      <w:r>
        <w:t>Where it fits</w:t>
      </w:r>
    </w:p>
    <w:p>
      <w:pPr>
        <w:spacing w:after="160"/>
      </w:pPr>
      <w:r>
        <w:t>Only triggers on the owner-builder path, and only once the job value crosses $20,000 (the threshold rose from $16,000 on 1 July 2026 — see track_electrical_carpentry_checklist_classification.md). It has to be obtained before the Building Permit application, since the permit form has a field for the Certificate of Consent number.</w:t>
      </w:r>
    </w:p>
    <w:p>
      <w:pPr>
        <w:pStyle w:val="Heading2"/>
        <w:spacing w:after="120" w:before="240"/>
      </w:pPr>
      <w:r>
        <w:t>Where it’s actually submitted</w:t>
      </w:r>
    </w:p>
    <w:tbl>
      <w:tblPr>
        <w:tblW w:type="auto" w:w="0"/>
        <w:tblLook w:firstColumn="1" w:firstRow="1" w:lastColumn="0" w:lastRow="0" w:noHBand="0" w:noVBand="1" w:val="04A0"/>
        <w:tblW w:type="dxa" w:w="9350"/>
        <w:tblBorders>
          <w:top w:val="single" w:color="B23B3B" w:sz="4"/>
          <w:left w:val="single" w:color="B23B3B" w:sz="24"/>
          <w:bottom w:val="single" w:color="B23B3B" w:sz="4"/>
          <w:right w:val="none" w:color="FFFFFF" w:sz="0"/>
        </w:tblBorders>
      </w:tblPr>
      <w:tblGrid>
        <w:gridCol w:w="9350"/>
      </w:tblGrid>
      <w:tr>
        <w:tc>
          <w:tcPr>
            <w:tcW w:type="dxa" w:w="9360"/>
            <w:shd w:fill="FBEAEA" w:val="clear"/>
            <w:tcMar>
              <w:top w:type="dxa" w:w="120"/>
              <w:left w:type="dxa" w:w="180"/>
              <w:bottom w:type="dxa" w:w="120"/>
              <w:right w:type="dxa" w:w="180"/>
            </w:tcMar>
          </w:tcPr>
          <w:p>
            <w:r/>
            <w:r>
              <w:rPr>
                <w:b/>
                <w:color w:val="8A2020"/>
              </w:rPr>
              <w:t xml:space="preserve">Important finding: </w:t>
            </w:r>
            <w:r>
              <w:rPr>
                <w:color w:val="5A2A2A"/>
              </w:rPr>
              <w:t>Unlike Form 1, there is no downloadable fixed-field form for this one. The Building and Plumbing Commission’s own study guide describes it as an online wizard through the BPC360 portal, not a document with a fixed field list — so presenting a field table here the way Form 1 has one would be inventing structure that doesn’t exist. What is confirmed, directly from BPC’s published guide, is the sequence and the categories of evidence required.</w:t>
            </w:r>
          </w:p>
        </w:tc>
      </w:tr>
    </w:tbl>
    <w:tbl>
      <w:tblPr>
        <w:tblW w:type="auto" w:w="0"/>
        <w:tblLook w:firstColumn="1" w:firstRow="1" w:lastColumn="0" w:lastRow="0" w:noHBand="0" w:noVBand="1" w:val="04A0"/>
        <w:tblW w:type="dxa" w:w="9350"/>
        <w:tblBorders>
          <w:top w:val="single" w:color="C98A2C" w:sz="4"/>
          <w:left w:val="single" w:color="C98A2C" w:sz="24"/>
          <w:bottom w:val="single" w:color="C98A2C" w:sz="4"/>
          <w:right w:val="none" w:color="FFFFFF" w:sz="0"/>
        </w:tblBorders>
      </w:tblPr>
      <w:tblGrid>
        <w:gridCol w:w="9350"/>
      </w:tblGrid>
      <w:tr>
        <w:tc>
          <w:tcPr>
            <w:tcW w:type="dxa" w:w="9360"/>
            <w:shd w:fill="FBF3DF" w:val="clear"/>
            <w:tcMar>
              <w:top w:type="dxa" w:w="120"/>
              <w:left w:type="dxa" w:w="180"/>
              <w:bottom w:type="dxa" w:w="120"/>
              <w:right w:type="dxa" w:w="180"/>
            </w:tcMar>
          </w:tcPr>
          <w:p>
            <w:r/>
            <w:r>
              <w:rPr>
                <w:b/>
                <w:color w:val="8A5A12"/>
              </w:rPr>
              <w:t xml:space="preserve">Submission target: </w:t>
            </w:r>
            <w:r>
              <w:rPr>
                <w:color w:val="54452A"/>
              </w:rPr>
              <w:t>BPC360 online portal (Building and Plumbing Commission).</w:t>
            </w:r>
          </w:p>
        </w:tc>
      </w:tr>
    </w:tbl>
    <w:p>
      <w:pPr>
        <w:pStyle w:val="Heading2"/>
        <w:spacing w:after="120" w:before="240"/>
      </w:pPr>
      <w:r>
        <w:t>What’s actually required, in order</w:t>
      </w:r>
    </w:p>
    <w:p>
      <w:pPr>
        <w:spacing w:after="60"/>
      </w:pPr>
      <w:r>
        <w:t>1. Complete the owner-builder eLearning assessment.</w:t>
      </w:r>
    </w:p>
    <w:p>
      <w:pPr>
        <w:spacing w:after="60"/>
      </w:pPr>
      <w:r>
        <w:t>2. Complete construction induction training (white card) if required.</w:t>
      </w:r>
    </w:p>
    <w:p>
      <w:pPr>
        <w:spacing w:after="60"/>
      </w:pPr>
      <w:r>
        <w:t>3. Register as a user on BPC360, using the same email and date of birth as the eLearning account.</w:t>
      </w:r>
    </w:p>
    <w:p>
      <w:pPr>
        <w:spacing w:after="60"/>
      </w:pPr>
      <w:r>
        <w:t>4. Start the application and save it as a draft.</w:t>
      </w:r>
    </w:p>
    <w:p>
      <w:pPr>
        <w:spacing w:after="60"/>
      </w:pPr>
      <w:r>
        <w:t>5. Complete the application with supporting documentation — BPC’s guide names “proof of identity, proof of ownership” as the core categories, without itemising every accepted document type beyond that.</w:t>
      </w:r>
    </w:p>
    <w:p>
      <w:pPr>
        <w:spacing w:after="60"/>
      </w:pPr>
      <w:r>
        <w:t>6. Pay the non-refundable application fee (a valid credit/debit card is required to start).</w:t>
      </w:r>
    </w:p>
    <w:p>
      <w:pPr>
        <w:spacing w:after="160"/>
      </w:pPr>
      <w:r>
        <w:t>7. Submit.</w:t>
      </w:r>
    </w:p>
    <w:p>
      <w:pPr>
        <w:spacing w:after="160"/>
      </w:pPr>
      <w:r>
        <w:t>BPC states processing takes approximately 45 business days once a complete application is submitted, and an incomplete one may be refused outright rather than queried. Eligibility itself (separate from the document list) requires: proof of land ownership, confirmation of intent to reside in the dwelling, confirmation the work relates to a single domestic dwelling or ancillary structure, no prior owner-builder permit on a different property in the last five years, and a declaration the applicant isn’t “in the business of building.”</w:t>
      </w:r>
    </w:p>
    <w:p>
      <w:pPr>
        <w:pStyle w:val="Heading2"/>
        <w:spacing w:after="120" w:before="240"/>
      </w:pPr>
      <w:r>
        <w:t>Worked example (illustrative, owner-builder variant of the same demo job)</w:t>
      </w:r>
    </w:p>
    <w:p>
      <w:pPr>
        <w:spacing w:after="160"/>
      </w:pPr>
      <w:r>
        <w:t>If J. Alvarez had chosen the owner-builder route instead of engaging Ironbark Site Services as builder, for the same $34,500 job (still over the $20,000 threshold):</w:t>
      </w:r>
    </w:p>
    <w:tbl>
      <w:tblPr>
        <w:tblW w:type="dxa" w:w="9350"/>
        <w:tblLook w:firstColumn="1" w:firstRow="1" w:lastColumn="0" w:lastRow="0" w:noHBand="0" w:noVBand="1" w:val="04A0"/>
        <w:tblW/>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8A5A12" w:val="clear"/>
            <w:tcMar>
              <w:top w:type="dxa" w:w="80"/>
              <w:left w:type="dxa" w:w="120"/>
              <w:bottom w:type="dxa" w:w="80"/>
              <w:right w:type="dxa" w:w="120"/>
            </w:tcMar>
          </w:tcPr>
          <w:p>
            <w:r/>
            <w:r>
              <w:rPr>
                <w:b/>
                <w:color w:val="FFFFFF"/>
              </w:rPr>
              <w:t>Field</w:t>
            </w:r>
          </w:p>
        </w:tc>
        <w:tc>
          <w:tcPr>
            <w:tcW w:type="dxa" w:w="6250"/>
            <w:shd w:fill="8A5A12" w:val="clear"/>
            <w:tcMar>
              <w:top w:type="dxa" w:w="80"/>
              <w:left w:type="dxa" w:w="120"/>
              <w:bottom w:type="dxa" w:w="80"/>
              <w:right w:type="dxa" w:w="120"/>
            </w:tcMar>
          </w:tcPr>
          <w:p>
            <w:r/>
            <w:r>
              <w:rPr>
                <w:b/>
                <w:color w:val="FFFFFF"/>
              </w:rPr>
              <w:t>Ironbark Site Services demo value</w:t>
            </w:r>
          </w:p>
        </w:tc>
      </w:tr>
      <w:tr>
        <w:tc>
          <w:tcPr>
            <w:tcW w:type="dxa" w:w="3100"/>
            <w:shd w:fill="F4F2EE" w:val="clear"/>
            <w:tcMar>
              <w:top w:type="dxa" w:w="80"/>
              <w:left w:type="dxa" w:w="120"/>
              <w:bottom w:type="dxa" w:w="80"/>
              <w:right w:type="dxa" w:w="120"/>
            </w:tcMar>
          </w:tcPr>
          <w:p>
            <w:r/>
            <w:r>
              <w:rPr>
                <w:b/>
              </w:rPr>
              <w:t>eLearning assessment</w:t>
            </w:r>
          </w:p>
        </w:tc>
        <w:tc>
          <w:tcPr>
            <w:tcW w:type="dxa" w:w="6250"/>
            <w:shd w:fill="F4F2EE" w:val="clear"/>
            <w:tcMar>
              <w:top w:type="dxa" w:w="80"/>
              <w:left w:type="dxa" w:w="120"/>
              <w:bottom w:type="dxa" w:w="80"/>
              <w:right w:type="dxa" w:w="120"/>
            </w:tcMar>
          </w:tcPr>
          <w:p>
            <w:r/>
            <w:r>
              <w:rPr>
                <w:b w:val="0"/>
              </w:rPr>
              <w:t>Completed 2 Sep 2026</w:t>
            </w:r>
          </w:p>
        </w:tc>
      </w:tr>
      <w:tr>
        <w:tc>
          <w:tcPr>
            <w:tcW w:type="dxa" w:w="3100"/>
            <w:shd w:fill="FFFFFF" w:val="clear"/>
            <w:tcMar>
              <w:top w:type="dxa" w:w="80"/>
              <w:left w:type="dxa" w:w="120"/>
              <w:bottom w:type="dxa" w:w="80"/>
              <w:right w:type="dxa" w:w="120"/>
            </w:tcMar>
          </w:tcPr>
          <w:p>
            <w:r/>
            <w:r>
              <w:rPr>
                <w:b/>
              </w:rPr>
              <w:t>White card</w:t>
            </w:r>
          </w:p>
        </w:tc>
        <w:tc>
          <w:tcPr>
            <w:tcW w:type="dxa" w:w="6250"/>
            <w:shd w:fill="FFFFFF" w:val="clear"/>
            <w:tcMar>
              <w:top w:type="dxa" w:w="80"/>
              <w:left w:type="dxa" w:w="120"/>
              <w:bottom w:type="dxa" w:w="80"/>
              <w:right w:type="dxa" w:w="120"/>
            </w:tcMar>
          </w:tcPr>
          <w:p>
            <w:r/>
            <w:r>
              <w:rPr>
                <w:b w:val="0"/>
              </w:rPr>
              <w:t>Held from a prior job</w:t>
            </w:r>
          </w:p>
        </w:tc>
      </w:tr>
      <w:tr>
        <w:tc>
          <w:tcPr>
            <w:tcW w:type="dxa" w:w="3100"/>
            <w:shd w:fill="F4F2EE" w:val="clear"/>
            <w:tcMar>
              <w:top w:type="dxa" w:w="80"/>
              <w:left w:type="dxa" w:w="120"/>
              <w:bottom w:type="dxa" w:w="80"/>
              <w:right w:type="dxa" w:w="120"/>
            </w:tcMar>
          </w:tcPr>
          <w:p>
            <w:r/>
            <w:r>
              <w:rPr>
                <w:b/>
              </w:rPr>
              <w:t>BPC360 registration</w:t>
            </w:r>
          </w:p>
        </w:tc>
        <w:tc>
          <w:tcPr>
            <w:tcW w:type="dxa" w:w="6250"/>
            <w:shd w:fill="F4F2EE" w:val="clear"/>
            <w:tcMar>
              <w:top w:type="dxa" w:w="80"/>
              <w:left w:type="dxa" w:w="120"/>
              <w:bottom w:type="dxa" w:w="80"/>
              <w:right w:type="dxa" w:w="120"/>
            </w:tcMar>
          </w:tcPr>
          <w:p>
            <w:r/>
            <w:r>
              <w:rPr>
                <w:b w:val="0"/>
              </w:rPr>
              <w:t>Same email/DOB as eLearning account</w:t>
            </w:r>
          </w:p>
        </w:tc>
      </w:tr>
      <w:tr>
        <w:tc>
          <w:tcPr>
            <w:tcW w:type="dxa" w:w="3100"/>
            <w:shd w:fill="FFFFFF" w:val="clear"/>
            <w:tcMar>
              <w:top w:type="dxa" w:w="80"/>
              <w:left w:type="dxa" w:w="120"/>
              <w:bottom w:type="dxa" w:w="80"/>
              <w:right w:type="dxa" w:w="120"/>
            </w:tcMar>
          </w:tcPr>
          <w:p>
            <w:r/>
            <w:r>
              <w:rPr>
                <w:b/>
              </w:rPr>
              <w:t>Proof of ownership</w:t>
            </w:r>
          </w:p>
        </w:tc>
        <w:tc>
          <w:tcPr>
            <w:tcW w:type="dxa" w:w="6250"/>
            <w:shd w:fill="FFFFFF" w:val="clear"/>
            <w:tcMar>
              <w:top w:type="dxa" w:w="80"/>
              <w:left w:type="dxa" w:w="120"/>
              <w:bottom w:type="dxa" w:w="80"/>
              <w:right w:type="dxa" w:w="120"/>
            </w:tcMar>
          </w:tcPr>
          <w:p>
            <w:r/>
            <w:r>
              <w:rPr>
                <w:b w:val="0"/>
              </w:rPr>
              <w:t>Current Certificate of Title for 8 Banksia Street, Pakenham</w:t>
            </w:r>
          </w:p>
        </w:tc>
      </w:tr>
      <w:tr>
        <w:tc>
          <w:tcPr>
            <w:tcW w:type="dxa" w:w="3100"/>
            <w:shd w:fill="F4F2EE" w:val="clear"/>
            <w:tcMar>
              <w:top w:type="dxa" w:w="80"/>
              <w:left w:type="dxa" w:w="120"/>
              <w:bottom w:type="dxa" w:w="80"/>
              <w:right w:type="dxa" w:w="120"/>
            </w:tcMar>
          </w:tcPr>
          <w:p>
            <w:r/>
            <w:r>
              <w:rPr>
                <w:b/>
              </w:rPr>
              <w:t>Proof of identity</w:t>
            </w:r>
          </w:p>
        </w:tc>
        <w:tc>
          <w:tcPr>
            <w:tcW w:type="dxa" w:w="6250"/>
            <w:shd w:fill="F4F2EE" w:val="clear"/>
            <w:tcMar>
              <w:top w:type="dxa" w:w="80"/>
              <w:left w:type="dxa" w:w="120"/>
              <w:bottom w:type="dxa" w:w="80"/>
              <w:right w:type="dxa" w:w="120"/>
            </w:tcMar>
          </w:tcPr>
          <w:p>
            <w:r/>
            <w:r>
              <w:rPr>
                <w:b w:val="0"/>
              </w:rPr>
              <w:t>Driver licence</w:t>
            </w:r>
          </w:p>
        </w:tc>
      </w:tr>
      <w:tr>
        <w:tc>
          <w:tcPr>
            <w:tcW w:type="dxa" w:w="3100"/>
            <w:shd w:fill="FFFFFF" w:val="clear"/>
            <w:tcMar>
              <w:top w:type="dxa" w:w="80"/>
              <w:left w:type="dxa" w:w="120"/>
              <w:bottom w:type="dxa" w:w="80"/>
              <w:right w:type="dxa" w:w="120"/>
            </w:tcMar>
          </w:tcPr>
          <w:p>
            <w:r/>
            <w:r>
              <w:rPr>
                <w:b/>
              </w:rPr>
              <w:t>Application fee</w:t>
            </w:r>
          </w:p>
        </w:tc>
        <w:tc>
          <w:tcPr>
            <w:tcW w:type="dxa" w:w="6250"/>
            <w:shd w:fill="FFFFFF" w:val="clear"/>
            <w:tcMar>
              <w:top w:type="dxa" w:w="80"/>
              <w:left w:type="dxa" w:w="120"/>
              <w:bottom w:type="dxa" w:w="80"/>
              <w:right w:type="dxa" w:w="120"/>
            </w:tcMar>
          </w:tcPr>
          <w:p>
            <w:r/>
            <w:r>
              <w:rPr>
                <w:b w:val="0"/>
              </w:rPr>
              <w:t>Paid by card at submission</w:t>
            </w:r>
          </w:p>
        </w:tc>
      </w:tr>
      <w:tr>
        <w:tc>
          <w:tcPr>
            <w:tcW w:type="dxa" w:w="3100"/>
            <w:shd w:fill="F4F2EE" w:val="clear"/>
            <w:tcMar>
              <w:top w:type="dxa" w:w="80"/>
              <w:left w:type="dxa" w:w="120"/>
              <w:bottom w:type="dxa" w:w="80"/>
              <w:right w:type="dxa" w:w="120"/>
            </w:tcMar>
          </w:tcPr>
          <w:p>
            <w:r/>
            <w:r>
              <w:rPr>
                <w:b/>
              </w:rPr>
              <w:t>Expected outcome</w:t>
            </w:r>
          </w:p>
        </w:tc>
        <w:tc>
          <w:tcPr>
            <w:tcW w:type="dxa" w:w="6250"/>
            <w:shd w:fill="F4F2EE" w:val="clear"/>
            <w:tcMar>
              <w:top w:type="dxa" w:w="80"/>
              <w:left w:type="dxa" w:w="120"/>
              <w:bottom w:type="dxa" w:w="80"/>
              <w:right w:type="dxa" w:w="120"/>
            </w:tcMar>
          </w:tcPr>
          <w:p>
            <w:r/>
            <w:r>
              <w:rPr>
                <w:b w:val="0"/>
              </w:rPr>
              <w:t>Certificate of Consent number, to be entered on Form 1 once issued (~45 business days later)</w:t>
            </w:r>
          </w:p>
        </w:tc>
      </w:tr>
    </w:tbl>
    <w:p>
      <w:pPr>
        <w:pStyle w:val="Heading2"/>
        <w:spacing w:after="120" w:before="240"/>
      </w:pPr>
      <w:r>
        <w:t>Sources</w:t>
      </w:r>
    </w:p>
    <w:p>
      <w:pPr>
        <w:pStyle w:val="ListParagraph"/>
        <w:numPr>
          <w:ilvl w:val="0"/>
          <w:numId w:val="2"/>
        </w:numPr>
        <w:spacing w:after="80"/>
      </w:pPr>
      <w:hyperlink r:id="rId10">
        <w:r>
          <w:rPr>
            <w:rStyle w:val="Hyperlink"/>
          </w:rPr>
          <w:t xml:space="preserve">BPC: Certificate of Consent</w:t>
        </w:r>
      </w:hyperlink>
    </w:p>
    <w:p>
      <w:pPr>
        <w:pStyle w:val="ListParagraph"/>
        <w:numPr>
          <w:ilvl w:val="0"/>
          <w:numId w:val="2"/>
        </w:numPr>
        <w:spacing w:after="80"/>
      </w:pPr>
      <w:hyperlink r:id="rId11">
        <w:r>
          <w:rPr>
            <w:rStyle w:val="Hyperlink"/>
          </w:rPr>
          <w:t xml:space="preserve">BPC: Apply to be an Owner-builder</w:t>
        </w:r>
      </w:hyperlink>
    </w:p>
    <w:p>
      <w:pPr>
        <w:pStyle w:val="ListParagraph"/>
        <w:numPr>
          <w:ilvl w:val="0"/>
          <w:numId w:val="2"/>
        </w:numPr>
        <w:spacing w:after="80"/>
      </w:pPr>
      <w:hyperlink r:id="rId12">
        <w:r>
          <w:rPr>
            <w:rStyle w:val="Hyperlink"/>
          </w:rPr>
          <w:t xml:space="preserve">BPC: Owner-builder eligibility</w:t>
        </w:r>
      </w:hyperlink>
    </w:p>
    <w:p>
      <w:pPr>
        <w:pStyle w:val="ListParagraph"/>
        <w:numPr>
          <w:ilvl w:val="0"/>
          <w:numId w:val="2"/>
        </w:numPr>
        <w:spacing w:after="80"/>
      </w:pPr>
      <w:hyperlink r:id="rId13">
        <w:r>
          <w:rPr>
            <w:rStyle w:val="Hyperlink"/>
          </w:rPr>
          <w:t xml:space="preserve">PRS HAN 008: Owner Builder Information and Study Guide</w:t>
        </w:r>
      </w:hyperlink>
    </w:p>
    <w:p>
      <w:r>
        <w:br w:type="page"/>
      </w:r>
    </w:p>
    <w:p>
      <w:pPr>
        <w:pStyle w:val="Heading1"/>
        <w:spacing w:after="160" w:before="320"/>
      </w:pPr>
      <w:r>
        <w:t>5. Home Warranty Insurance — Carpentry &amp; Renovation (Builder-Engaged Path)</w:t>
      </w:r>
    </w:p>
    <w:p>
      <w:pPr>
        <w:pStyle w:val="Heading2"/>
        <w:spacing w:after="120" w:before="240"/>
      </w:pPr>
      <w:r>
        <w:t>Where it fits</w:t>
      </w:r>
    </w:p>
    <w:p>
      <w:pPr>
        <w:spacing w:after="160"/>
      </w:pPr>
      <w:r>
        <w:t>Only triggers on the registered-builder path (the demo scenario in Section 3), once job value crosses $20,000. This replaced Domestic Building Insurance (DBI) from 1 July 2026 for newly signed contracts.</w:t>
      </w:r>
    </w:p>
    <w:p>
      <w:pPr>
        <w:pStyle w:val="Heading2"/>
        <w:spacing w:after="120" w:before="240"/>
      </w:pPr>
      <w:r>
        <w:t>Where it’s actually submitted</w:t>
      </w:r>
    </w:p>
    <w:tbl>
      <w:tblPr>
        <w:tblW w:type="auto" w:w="0"/>
        <w:tblLook w:firstColumn="1" w:firstRow="1" w:lastColumn="0" w:lastRow="0" w:noHBand="0" w:noVBand="1" w:val="04A0"/>
        <w:tblW w:type="dxa" w:w="9350"/>
        <w:tblBorders>
          <w:top w:val="single" w:color="B23B3B" w:sz="4"/>
          <w:left w:val="single" w:color="B23B3B" w:sz="24"/>
          <w:bottom w:val="single" w:color="B23B3B" w:sz="4"/>
          <w:right w:val="none" w:color="FFFFFF" w:sz="0"/>
        </w:tblBorders>
      </w:tblPr>
      <w:tblGrid>
        <w:gridCol w:w="9350"/>
      </w:tblGrid>
      <w:tr>
        <w:tc>
          <w:tcPr>
            <w:tcW w:type="dxa" w:w="9360"/>
            <w:shd w:fill="FBEAEA" w:val="clear"/>
            <w:tcMar>
              <w:top w:type="dxa" w:w="120"/>
              <w:left w:type="dxa" w:w="180"/>
              <w:bottom w:type="dxa" w:w="120"/>
              <w:right w:type="dxa" w:w="180"/>
            </w:tcMar>
          </w:tcPr>
          <w:p>
            <w:r/>
            <w:r>
              <w:rPr>
                <w:b/>
                <w:color w:val="8A2020"/>
              </w:rPr>
              <w:t xml:space="preserve">Important finding: </w:t>
            </w:r>
            <w:r>
              <w:rPr>
                <w:color w:val="5A2A2A"/>
              </w:rPr>
              <w:t>Same situation as the electrical LEI booking — no public application form exists. BPC’s own pages describe the process as contacting a private approved distributor (an insurance provider in BPC’s network), not filling in a BPC-hosted form. BPC’s role is limited to accepting the premium and issuing the Notice of Cover once a distributor has arranged it.</w:t>
            </w:r>
          </w:p>
        </w:tc>
      </w:tr>
    </w:tbl>
    <w:tbl>
      <w:tblPr>
        <w:tblW w:type="auto" w:w="0"/>
        <w:tblLook w:firstColumn="1" w:firstRow="1" w:lastColumn="0" w:lastRow="0" w:noHBand="0" w:noVBand="1" w:val="04A0"/>
        <w:tblW w:type="dxa" w:w="9350"/>
        <w:tblBorders>
          <w:top w:val="single" w:color="C98A2C" w:sz="4"/>
          <w:left w:val="single" w:color="C98A2C" w:sz="24"/>
          <w:bottom w:val="single" w:color="C98A2C" w:sz="4"/>
          <w:right w:val="none" w:color="FFFFFF" w:sz="0"/>
        </w:tblBorders>
      </w:tblPr>
      <w:tblGrid>
        <w:gridCol w:w="9350"/>
      </w:tblGrid>
      <w:tr>
        <w:tc>
          <w:tcPr>
            <w:tcW w:type="dxa" w:w="9360"/>
            <w:shd w:fill="FBF3DF" w:val="clear"/>
            <w:tcMar>
              <w:top w:type="dxa" w:w="120"/>
              <w:left w:type="dxa" w:w="180"/>
              <w:bottom w:type="dxa" w:w="120"/>
              <w:right w:type="dxa" w:w="180"/>
            </w:tcMar>
          </w:tcPr>
          <w:p>
            <w:r/>
            <w:r>
              <w:rPr>
                <w:b/>
                <w:color w:val="8A5A12"/>
              </w:rPr>
              <w:t xml:space="preserve">Submission target: </w:t>
            </w:r>
            <w:r>
              <w:rPr>
                <w:color w:val="54452A"/>
              </w:rPr>
              <w:t>An approved Home Warranty distributor, chosen or already used by the builder (not BPC directly for the arrangement step).</w:t>
            </w:r>
          </w:p>
        </w:tc>
      </w:tr>
    </w:tbl>
    <w:p>
      <w:pPr>
        <w:pStyle w:val="Heading2"/>
        <w:spacing w:after="120" w:before="240"/>
      </w:pPr>
      <w:r>
        <w:t>What’s actually required (confirmed from BPC’s own pages)</w:t>
      </w:r>
    </w:p>
    <w:p>
      <w:pPr>
        <w:spacing w:after="60"/>
      </w:pPr>
      <w:r>
        <w:t>1. Confirm eligibility — job value, whether Home Warranty applies, whether any exclusion applies.</w:t>
      </w:r>
    </w:p>
    <w:p>
      <w:pPr>
        <w:spacing w:after="60"/>
      </w:pPr>
      <w:r>
        <w:t>2. Contact an approved distributor to arrange cover.</w:t>
      </w:r>
    </w:p>
    <w:p>
      <w:pPr>
        <w:spacing w:after="60"/>
      </w:pPr>
      <w:r>
        <w:t>3. Pay the applicable premium for the specific project.</w:t>
      </w:r>
    </w:p>
    <w:p>
      <w:pPr>
        <w:spacing w:after="60"/>
      </w:pPr>
      <w:r>
        <w:t>4. Verify the information submitted for the Notice of Cover is correct.</w:t>
      </w:r>
    </w:p>
    <w:p>
      <w:pPr>
        <w:spacing w:after="160"/>
      </w:pPr>
      <w:r>
        <w:t>5. BPC issues the Notice of Cover to the homeowner once it accepts the premium.</w:t>
      </w:r>
    </w:p>
    <w:p>
      <w:pPr>
        <w:spacing w:after="160"/>
      </w:pPr>
      <w:r>
        <w:t>BPC’s pages don’t publish the distributor’s own intake fields (project address, contract value, builder’s MCC/MFR status would be the reasonable expectation, but this is inference, not confirmed) — that detail sits with each distributor, the same way each LEI runs their own booking intake.</w:t>
      </w:r>
    </w:p>
    <w:p>
      <w:pPr>
        <w:pStyle w:val="Heading2"/>
        <w:spacing w:after="120" w:before="240"/>
      </w:pPr>
      <w:r>
        <w:t>Worked example (mocked, same demo job)</w:t>
      </w:r>
    </w:p>
    <w:tbl>
      <w:tblPr>
        <w:tblW w:type="dxa" w:w="9350"/>
        <w:tblLook w:firstColumn="1" w:firstRow="1" w:lastColumn="0" w:lastRow="0" w:noHBand="0" w:noVBand="1" w:val="04A0"/>
        <w:tblW/>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8A5A12" w:val="clear"/>
            <w:tcMar>
              <w:top w:type="dxa" w:w="80"/>
              <w:left w:type="dxa" w:w="120"/>
              <w:bottom w:type="dxa" w:w="80"/>
              <w:right w:type="dxa" w:w="120"/>
            </w:tcMar>
          </w:tcPr>
          <w:p>
            <w:r/>
            <w:r>
              <w:rPr>
                <w:b/>
                <w:color w:val="FFFFFF"/>
              </w:rPr>
              <w:t>Field</w:t>
            </w:r>
          </w:p>
        </w:tc>
        <w:tc>
          <w:tcPr>
            <w:tcW w:type="dxa" w:w="6250"/>
            <w:shd w:fill="8A5A12" w:val="clear"/>
            <w:tcMar>
              <w:top w:type="dxa" w:w="80"/>
              <w:left w:type="dxa" w:w="120"/>
              <w:bottom w:type="dxa" w:w="80"/>
              <w:right w:type="dxa" w:w="120"/>
            </w:tcMar>
          </w:tcPr>
          <w:p>
            <w:r/>
            <w:r>
              <w:rPr>
                <w:b/>
                <w:color w:val="FFFFFF"/>
              </w:rPr>
              <w:t>Ironbark Site Services demo value</w:t>
            </w:r>
          </w:p>
        </w:tc>
      </w:tr>
      <w:tr>
        <w:tc>
          <w:tcPr>
            <w:tcW w:type="dxa" w:w="3100"/>
            <w:shd w:fill="F4F2EE" w:val="clear"/>
            <w:tcMar>
              <w:top w:type="dxa" w:w="80"/>
              <w:left w:type="dxa" w:w="120"/>
              <w:bottom w:type="dxa" w:w="80"/>
              <w:right w:type="dxa" w:w="120"/>
            </w:tcMar>
          </w:tcPr>
          <w:p>
            <w:r/>
            <w:r>
              <w:rPr>
                <w:b/>
              </w:rPr>
              <w:t>Project</w:t>
            </w:r>
          </w:p>
        </w:tc>
        <w:tc>
          <w:tcPr>
            <w:tcW w:type="dxa" w:w="6250"/>
            <w:shd w:fill="F4F2EE" w:val="clear"/>
            <w:tcMar>
              <w:top w:type="dxa" w:w="80"/>
              <w:left w:type="dxa" w:w="120"/>
              <w:bottom w:type="dxa" w:w="80"/>
              <w:right w:type="dxa" w:w="120"/>
            </w:tcMar>
          </w:tcPr>
          <w:p>
            <w:r/>
            <w:r>
              <w:rPr>
                <w:b w:val="0"/>
              </w:rPr>
              <w:t>8 Banksia Street, Pakenham VIC 3810, extension, $34,500</w:t>
            </w:r>
          </w:p>
        </w:tc>
      </w:tr>
      <w:tr>
        <w:tc>
          <w:tcPr>
            <w:tcW w:type="dxa" w:w="3100"/>
            <w:shd w:fill="FFFFFF" w:val="clear"/>
            <w:tcMar>
              <w:top w:type="dxa" w:w="80"/>
              <w:left w:type="dxa" w:w="120"/>
              <w:bottom w:type="dxa" w:w="80"/>
              <w:right w:type="dxa" w:w="120"/>
            </w:tcMar>
          </w:tcPr>
          <w:p>
            <w:r/>
            <w:r>
              <w:rPr>
                <w:b/>
              </w:rPr>
              <w:t>Distributor contacted</w:t>
            </w:r>
          </w:p>
        </w:tc>
        <w:tc>
          <w:tcPr>
            <w:tcW w:type="dxa" w:w="6250"/>
            <w:shd w:fill="FFFFFF" w:val="clear"/>
            <w:tcMar>
              <w:top w:type="dxa" w:w="80"/>
              <w:left w:type="dxa" w:w="120"/>
              <w:bottom w:type="dxa" w:w="80"/>
              <w:right w:type="dxa" w:w="120"/>
            </w:tcMar>
          </w:tcPr>
          <w:p>
            <w:r/>
            <w:r>
              <w:rPr>
                <w:b w:val="0"/>
              </w:rPr>
              <w:t>[Approved distributor name — chosen by builder, not specified by BPC]</w:t>
            </w:r>
          </w:p>
        </w:tc>
      </w:tr>
      <w:tr>
        <w:tc>
          <w:tcPr>
            <w:tcW w:type="dxa" w:w="3100"/>
            <w:shd w:fill="F4F2EE" w:val="clear"/>
            <w:tcMar>
              <w:top w:type="dxa" w:w="80"/>
              <w:left w:type="dxa" w:w="120"/>
              <w:bottom w:type="dxa" w:w="80"/>
              <w:right w:type="dxa" w:w="120"/>
            </w:tcMar>
          </w:tcPr>
          <w:p>
            <w:r/>
            <w:r>
              <w:rPr>
                <w:b/>
              </w:rPr>
              <w:t>Premium</w:t>
            </w:r>
          </w:p>
        </w:tc>
        <w:tc>
          <w:tcPr>
            <w:tcW w:type="dxa" w:w="6250"/>
            <w:shd w:fill="F4F2EE" w:val="clear"/>
            <w:tcMar>
              <w:top w:type="dxa" w:w="80"/>
              <w:left w:type="dxa" w:w="120"/>
              <w:bottom w:type="dxa" w:w="80"/>
              <w:right w:type="dxa" w:w="120"/>
            </w:tcMar>
          </w:tcPr>
          <w:p>
            <w:r/>
            <w:r>
              <w:rPr>
                <w:b w:val="0"/>
              </w:rPr>
              <w:t>Paid by Ironbark Site Services prior to work starting</w:t>
            </w:r>
          </w:p>
        </w:tc>
      </w:tr>
      <w:tr>
        <w:tc>
          <w:tcPr>
            <w:tcW w:type="dxa" w:w="3100"/>
            <w:shd w:fill="FFFFFF" w:val="clear"/>
            <w:tcMar>
              <w:top w:type="dxa" w:w="80"/>
              <w:left w:type="dxa" w:w="120"/>
              <w:bottom w:type="dxa" w:w="80"/>
              <w:right w:type="dxa" w:w="120"/>
            </w:tcMar>
          </w:tcPr>
          <w:p>
            <w:r/>
            <w:r>
              <w:rPr>
                <w:b/>
              </w:rPr>
              <w:t>Notice of Cover</w:t>
            </w:r>
          </w:p>
        </w:tc>
        <w:tc>
          <w:tcPr>
            <w:tcW w:type="dxa" w:w="6250"/>
            <w:shd w:fill="FFFFFF" w:val="clear"/>
            <w:tcMar>
              <w:top w:type="dxa" w:w="80"/>
              <w:left w:type="dxa" w:w="120"/>
              <w:bottom w:type="dxa" w:w="80"/>
              <w:right w:type="dxa" w:w="120"/>
            </w:tcMar>
          </w:tcPr>
          <w:p>
            <w:r/>
            <w:r>
              <w:rPr>
                <w:b w:val="0"/>
              </w:rPr>
              <w:t>Issued by BPC to J. Alvarez (homeowner) once premium accepted</w:t>
            </w:r>
          </w:p>
        </w:tc>
      </w:tr>
    </w:tbl>
    <w:p>
      <w:pPr>
        <w:pStyle w:val="Heading2"/>
        <w:spacing w:after="120" w:before="240"/>
      </w:pPr>
      <w:r>
        <w:t>Sources</w:t>
      </w:r>
    </w:p>
    <w:p>
      <w:pPr>
        <w:pStyle w:val="ListParagraph"/>
        <w:numPr>
          <w:ilvl w:val="0"/>
          <w:numId w:val="2"/>
        </w:numPr>
        <w:spacing w:after="80"/>
      </w:pPr>
      <w:hyperlink r:id="rId14">
        <w:r>
          <w:rPr>
            <w:rStyle w:val="Hyperlink"/>
          </w:rPr>
          <w:t xml:space="preserve">BPC: What builders need to know about new insurance</w:t>
        </w:r>
      </w:hyperlink>
    </w:p>
    <w:p>
      <w:pPr>
        <w:pStyle w:val="ListParagraph"/>
        <w:numPr>
          <w:ilvl w:val="0"/>
          <w:numId w:val="2"/>
        </w:numPr>
        <w:spacing w:after="80"/>
      </w:pPr>
      <w:hyperlink r:id="rId15">
        <w:r>
          <w:rPr>
            <w:rStyle w:val="Hyperlink"/>
          </w:rPr>
          <w:t xml:space="preserve">BPC: Arrange Home Warranty for a project</w:t>
        </w:r>
      </w:hyperlink>
    </w:p>
    <w:p>
      <w:pPr>
        <w:pStyle w:val="ListParagraph"/>
        <w:numPr>
          <w:ilvl w:val="0"/>
          <w:numId w:val="2"/>
        </w:numPr>
        <w:spacing w:after="80"/>
      </w:pPr>
      <w:hyperlink r:id="rId16">
        <w:r>
          <w:rPr>
            <w:rStyle w:val="Hyperlink"/>
          </w:rPr>
          <w:t xml:space="preserve">BPC: Domestic Building Insurance and Home Warranty</w:t>
        </w:r>
      </w:hyperlink>
    </w:p>
    <w:p>
      <w:r>
        <w:br w:type="page"/>
      </w:r>
    </w:p>
    <w:p>
      <w:pPr>
        <w:pStyle w:val="Heading1"/>
        <w:spacing w:after="160" w:before="320"/>
      </w:pPr>
      <w:r>
        <w:t>6. Occupancy Permit / Certificate of Final Inspection — Carpentry &amp; Renovation</w:t>
      </w:r>
    </w:p>
    <w:p>
      <w:pPr>
        <w:pStyle w:val="Heading2"/>
        <w:spacing w:after="120" w:before="240"/>
      </w:pPr>
      <w:r>
        <w:t>Where it fits</w:t>
      </w:r>
    </w:p>
    <w:p>
      <w:pPr>
        <w:spacing w:after="160"/>
      </w:pPr>
      <w:r>
        <w:t>The closing item on both paths — required before the finished extension/renovation can be occupied or, for minor alteration work not changing building use, before it’s signed off. It’s an offence under the Building Act 1993 to occupy before this is issued.</w:t>
      </w:r>
    </w:p>
    <w:p>
      <w:pPr>
        <w:pStyle w:val="Heading2"/>
        <w:spacing w:after="120" w:before="240"/>
      </w:pPr>
      <w:r>
        <w:t>Where it’s actually submitted</w:t>
      </w:r>
    </w:p>
    <w:p>
      <w:pPr>
        <w:spacing w:after="160"/>
      </w:pPr>
      <w:r>
        <w:t>Back to the same registered building surveyor who issued the Building Permit (Section 3) — they determine at permit stage whether the job will need a full Occupancy Permit or the simpler Certificate of Final Inspection, and that’s recorded on the permit itself.</w:t>
      </w:r>
    </w:p>
    <w:tbl>
      <w:tblPr>
        <w:tblW w:type="auto" w:w="0"/>
        <w:tblLook w:firstColumn="1" w:firstRow="1" w:lastColumn="0" w:lastRow="0" w:noHBand="0" w:noVBand="1" w:val="04A0"/>
        <w:tblW w:type="dxa" w:w="9350"/>
        <w:tblBorders>
          <w:top w:val="single" w:color="C98A2C" w:sz="4"/>
          <w:left w:val="single" w:color="C98A2C" w:sz="24"/>
          <w:bottom w:val="single" w:color="C98A2C" w:sz="4"/>
          <w:right w:val="none" w:color="FFFFFF" w:sz="0"/>
        </w:tblBorders>
      </w:tblPr>
      <w:tblGrid>
        <w:gridCol w:w="9350"/>
      </w:tblGrid>
      <w:tr>
        <w:tc>
          <w:tcPr>
            <w:tcW w:type="dxa" w:w="9360"/>
            <w:shd w:fill="FBF3DF" w:val="clear"/>
            <w:tcMar>
              <w:top w:type="dxa" w:w="120"/>
              <w:left w:type="dxa" w:w="180"/>
              <w:bottom w:type="dxa" w:w="120"/>
              <w:right w:type="dxa" w:w="180"/>
            </w:tcMar>
          </w:tcPr>
          <w:p>
            <w:r/>
            <w:r>
              <w:rPr>
                <w:b/>
                <w:color w:val="8A5A12"/>
              </w:rPr>
              <w:t xml:space="preserve">Submission target: </w:t>
            </w:r>
            <w:r>
              <w:rPr>
                <w:color w:val="54452A"/>
              </w:rPr>
              <w:t>The appointed registered building surveyor, using Form 5 — Application for an Occupancy Permit, prescribed under the Building Regulations 2018 (title and existence confirmed via search; the full field text could not be retrieved from an accessible copy, so it is not reproduced here as if verified).</w:t>
            </w:r>
          </w:p>
        </w:tc>
      </w:tr>
    </w:tbl>
    <w:p>
      <w:pPr>
        <w:pStyle w:val="Heading2"/>
        <w:spacing w:after="120" w:before="240"/>
      </w:pPr>
      <w:r>
        <w:t>What’s actually required — supporting documents (confirmed from a council-published checklist)</w:t>
      </w:r>
    </w:p>
    <w:tbl>
      <w:tblPr>
        <w:tblW w:type="dxa" w:w="9350"/>
        <w:tblLook w:firstColumn="1" w:firstRow="1" w:lastColumn="0" w:lastRow="0" w:noHBand="0" w:noVBand="1" w:val="04A0"/>
        <w:tblW/>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F1B16" w:val="clear"/>
            <w:tcMar>
              <w:top w:type="dxa" w:w="80"/>
              <w:left w:type="dxa" w:w="120"/>
              <w:bottom w:type="dxa" w:w="80"/>
              <w:right w:type="dxa" w:w="120"/>
            </w:tcMar>
          </w:tcPr>
          <w:p>
            <w:r/>
            <w:r>
              <w:rPr>
                <w:b/>
                <w:color w:val="FFFFFF"/>
              </w:rPr>
              <w:t>Document</w:t>
            </w:r>
          </w:p>
        </w:tc>
        <w:tc>
          <w:tcPr>
            <w:tcW w:type="dxa" w:w="4000"/>
            <w:shd w:fill="1F1B16" w:val="clear"/>
            <w:tcMar>
              <w:top w:type="dxa" w:w="80"/>
              <w:left w:type="dxa" w:w="120"/>
              <w:bottom w:type="dxa" w:w="80"/>
              <w:right w:type="dxa" w:w="120"/>
            </w:tcMar>
          </w:tcPr>
          <w:p>
            <w:r/>
            <w:r>
              <w:rPr>
                <w:b/>
                <w:color w:val="FFFFFF"/>
              </w:rPr>
              <w:t>When needed</w:t>
            </w:r>
          </w:p>
        </w:tc>
      </w:tr>
      <w:tr>
        <w:tc>
          <w:tcPr>
            <w:tcW w:type="dxa" w:w="5350"/>
            <w:shd w:fill="F4F2EE" w:val="clear"/>
            <w:tcMar>
              <w:top w:type="dxa" w:w="80"/>
              <w:left w:type="dxa" w:w="120"/>
              <w:bottom w:type="dxa" w:w="80"/>
              <w:right w:type="dxa" w:w="120"/>
            </w:tcMar>
          </w:tcPr>
          <w:p>
            <w:r/>
            <w:r>
              <w:rPr>
                <w:b/>
              </w:rPr>
              <w:t>Signed “Application for an Occupancy Permit” form</w:t>
            </w:r>
          </w:p>
        </w:tc>
        <w:tc>
          <w:tcPr>
            <w:tcW w:type="dxa" w:w="4000"/>
            <w:shd w:fill="F4F2EE" w:val="clear"/>
            <w:tcMar>
              <w:top w:type="dxa" w:w="80"/>
              <w:left w:type="dxa" w:w="120"/>
              <w:bottom w:type="dxa" w:w="80"/>
              <w:right w:type="dxa" w:w="120"/>
            </w:tcMar>
          </w:tcPr>
          <w:p>
            <w:r/>
            <w:r>
              <w:rPr>
                <w:b w:val="0"/>
              </w:rPr>
              <w:t>Always</w:t>
            </w:r>
          </w:p>
        </w:tc>
      </w:tr>
      <w:tr>
        <w:tc>
          <w:tcPr>
            <w:tcW w:type="dxa" w:w="5350"/>
            <w:shd w:fill="FFFFFF" w:val="clear"/>
            <w:tcMar>
              <w:top w:type="dxa" w:w="80"/>
              <w:left w:type="dxa" w:w="120"/>
              <w:bottom w:type="dxa" w:w="80"/>
              <w:right w:type="dxa" w:w="120"/>
            </w:tcMar>
          </w:tcPr>
          <w:p>
            <w:r/>
            <w:r>
              <w:rPr>
                <w:b/>
              </w:rPr>
              <w:t>Certificate of Electrical Safety, from the electrician</w:t>
            </w:r>
          </w:p>
        </w:tc>
        <w:tc>
          <w:tcPr>
            <w:tcW w:type="dxa" w:w="4000"/>
            <w:shd w:fill="FFFFFF" w:val="clear"/>
            <w:tcMar>
              <w:top w:type="dxa" w:w="80"/>
              <w:left w:type="dxa" w:w="120"/>
              <w:bottom w:type="dxa" w:w="80"/>
              <w:right w:type="dxa" w:w="120"/>
            </w:tcMar>
          </w:tcPr>
          <w:p>
            <w:r/>
            <w:r>
              <w:rPr>
                <w:b w:val="0"/>
              </w:rPr>
              <w:t>If electrical work was done</w:t>
            </w:r>
          </w:p>
        </w:tc>
      </w:tr>
      <w:tr>
        <w:tc>
          <w:tcPr>
            <w:tcW w:type="dxa" w:w="5350"/>
            <w:shd w:fill="F4F2EE" w:val="clear"/>
            <w:tcMar>
              <w:top w:type="dxa" w:w="80"/>
              <w:left w:type="dxa" w:w="120"/>
              <w:bottom w:type="dxa" w:w="80"/>
              <w:right w:type="dxa" w:w="120"/>
            </w:tcMar>
          </w:tcPr>
          <w:p>
            <w:r/>
            <w:r>
              <w:rPr>
                <w:b/>
              </w:rPr>
              <w:t>Certificate of Compliance, from the plumber</w:t>
            </w:r>
          </w:p>
        </w:tc>
        <w:tc>
          <w:tcPr>
            <w:tcW w:type="dxa" w:w="4000"/>
            <w:shd w:fill="F4F2EE" w:val="clear"/>
            <w:tcMar>
              <w:top w:type="dxa" w:w="80"/>
              <w:left w:type="dxa" w:w="120"/>
              <w:bottom w:type="dxa" w:w="80"/>
              <w:right w:type="dxa" w:w="120"/>
            </w:tcMar>
          </w:tcPr>
          <w:p>
            <w:r/>
            <w:r>
              <w:rPr>
                <w:b w:val="0"/>
              </w:rPr>
              <w:t>If plumbing work was done</w:t>
            </w:r>
          </w:p>
        </w:tc>
      </w:tr>
      <w:tr>
        <w:tc>
          <w:tcPr>
            <w:tcW w:type="dxa" w:w="5350"/>
            <w:shd w:fill="FFFFFF" w:val="clear"/>
            <w:tcMar>
              <w:top w:type="dxa" w:w="80"/>
              <w:left w:type="dxa" w:w="120"/>
              <w:bottom w:type="dxa" w:w="80"/>
              <w:right w:type="dxa" w:w="120"/>
            </w:tcMar>
          </w:tcPr>
          <w:p>
            <w:r/>
            <w:r>
              <w:rPr>
                <w:b/>
              </w:rPr>
              <w:t>Termite protection certificate + durable notice fixed inside the switchboard</w:t>
            </w:r>
          </w:p>
        </w:tc>
        <w:tc>
          <w:tcPr>
            <w:tcW w:type="dxa" w:w="4000"/>
            <w:shd w:fill="FFFFFF" w:val="clear"/>
            <w:tcMar>
              <w:top w:type="dxa" w:w="80"/>
              <w:left w:type="dxa" w:w="120"/>
              <w:bottom w:type="dxa" w:w="80"/>
              <w:right w:type="dxa" w:w="120"/>
            </w:tcMar>
          </w:tcPr>
          <w:p>
            <w:r/>
            <w:r>
              <w:rPr>
                <w:b w:val="0"/>
              </w:rPr>
              <w:t>If applicable to the site/construction type</w:t>
            </w:r>
          </w:p>
        </w:tc>
      </w:tr>
      <w:tr>
        <w:tc>
          <w:tcPr>
            <w:tcW w:type="dxa" w:w="5350"/>
            <w:shd w:fill="F4F2EE" w:val="clear"/>
            <w:tcMar>
              <w:top w:type="dxa" w:w="80"/>
              <w:left w:type="dxa" w:w="120"/>
              <w:bottom w:type="dxa" w:w="80"/>
              <w:right w:type="dxa" w:w="120"/>
            </w:tcMar>
          </w:tcPr>
          <w:p>
            <w:r/>
            <w:r>
              <w:rPr>
                <w:b/>
              </w:rPr>
              <w:t>Glazier’s certificate (windows/shower screens comply with AS1288 &amp; AS2047)</w:t>
            </w:r>
          </w:p>
        </w:tc>
        <w:tc>
          <w:tcPr>
            <w:tcW w:type="dxa" w:w="4000"/>
            <w:shd w:fill="F4F2EE" w:val="clear"/>
            <w:tcMar>
              <w:top w:type="dxa" w:w="80"/>
              <w:left w:type="dxa" w:w="120"/>
              <w:bottom w:type="dxa" w:w="80"/>
              <w:right w:type="dxa" w:w="120"/>
            </w:tcMar>
          </w:tcPr>
          <w:p>
            <w:r/>
            <w:r>
              <w:rPr>
                <w:b w:val="0"/>
              </w:rPr>
              <w:t>If applicable</w:t>
            </w:r>
          </w:p>
        </w:tc>
      </w:tr>
      <w:tr>
        <w:tc>
          <w:tcPr>
            <w:tcW w:type="dxa" w:w="5350"/>
            <w:shd w:fill="FFFFFF" w:val="clear"/>
            <w:tcMar>
              <w:top w:type="dxa" w:w="80"/>
              <w:left w:type="dxa" w:w="120"/>
              <w:bottom w:type="dxa" w:w="80"/>
              <w:right w:type="dxa" w:w="120"/>
            </w:tcMar>
          </w:tcPr>
          <w:p>
            <w:r/>
            <w:r>
              <w:rPr>
                <w:b/>
              </w:rPr>
              <w:t>Letter confirming construction meets the Energy Report</w:t>
            </w:r>
          </w:p>
        </w:tc>
        <w:tc>
          <w:tcPr>
            <w:tcW w:type="dxa" w:w="4000"/>
            <w:shd w:fill="FFFFFF" w:val="clear"/>
            <w:tcMar>
              <w:top w:type="dxa" w:w="80"/>
              <w:left w:type="dxa" w:w="120"/>
              <w:bottom w:type="dxa" w:w="80"/>
              <w:right w:type="dxa" w:w="120"/>
            </w:tcMar>
          </w:tcPr>
          <w:p>
            <w:r/>
            <w:r>
              <w:rPr>
                <w:b w:val="0"/>
              </w:rPr>
              <w:t>If applicable</w:t>
            </w:r>
          </w:p>
        </w:tc>
      </w:tr>
      <w:tr>
        <w:tc>
          <w:tcPr>
            <w:tcW w:type="dxa" w:w="5350"/>
            <w:shd w:fill="F4F2EE" w:val="clear"/>
            <w:tcMar>
              <w:top w:type="dxa" w:w="80"/>
              <w:left w:type="dxa" w:w="120"/>
              <w:bottom w:type="dxa" w:w="80"/>
              <w:right w:type="dxa" w:w="120"/>
            </w:tcMar>
          </w:tcPr>
          <w:p>
            <w:r/>
            <w:r>
              <w:rPr>
                <w:b/>
              </w:rPr>
              <w:t>“Waterproofing of Wet Areas in Residential Buildings” certificate</w:t>
            </w:r>
          </w:p>
        </w:tc>
        <w:tc>
          <w:tcPr>
            <w:tcW w:type="dxa" w:w="4000"/>
            <w:shd w:fill="F4F2EE" w:val="clear"/>
            <w:tcMar>
              <w:top w:type="dxa" w:w="80"/>
              <w:left w:type="dxa" w:w="120"/>
              <w:bottom w:type="dxa" w:w="80"/>
              <w:right w:type="dxa" w:w="120"/>
            </w:tcMar>
          </w:tcPr>
          <w:p>
            <w:r/>
            <w:r>
              <w:rPr>
                <w:b w:val="0"/>
              </w:rPr>
              <w:t>If applicable</w:t>
            </w:r>
          </w:p>
        </w:tc>
      </w:tr>
      <w:tr>
        <w:tc>
          <w:tcPr>
            <w:tcW w:type="dxa" w:w="5350"/>
            <w:shd w:fill="FFFFFF" w:val="clear"/>
            <w:tcMar>
              <w:top w:type="dxa" w:w="80"/>
              <w:left w:type="dxa" w:w="120"/>
              <w:bottom w:type="dxa" w:w="80"/>
              <w:right w:type="dxa" w:w="120"/>
            </w:tcMar>
          </w:tcPr>
          <w:p>
            <w:r/>
            <w:r>
              <w:rPr>
                <w:b/>
              </w:rPr>
              <w:t>Certificate of Approval to Use a Septic Tank System, from the relevant Environmental Health Officer</w:t>
            </w:r>
          </w:p>
        </w:tc>
        <w:tc>
          <w:tcPr>
            <w:tcW w:type="dxa" w:w="4000"/>
            <w:shd w:fill="FFFFFF" w:val="clear"/>
            <w:tcMar>
              <w:top w:type="dxa" w:w="80"/>
              <w:left w:type="dxa" w:w="120"/>
              <w:bottom w:type="dxa" w:w="80"/>
              <w:right w:type="dxa" w:w="120"/>
            </w:tcMar>
          </w:tcPr>
          <w:p>
            <w:r/>
            <w:r>
              <w:rPr>
                <w:b w:val="0"/>
              </w:rPr>
              <w:t>If on a septic system</w:t>
            </w:r>
          </w:p>
        </w:tc>
      </w:tr>
      <w:tr>
        <w:tc>
          <w:tcPr>
            <w:tcW w:type="dxa" w:w="5350"/>
            <w:shd w:fill="F4F2EE" w:val="clear"/>
            <w:tcMar>
              <w:top w:type="dxa" w:w="80"/>
              <w:left w:type="dxa" w:w="120"/>
              <w:bottom w:type="dxa" w:w="80"/>
              <w:right w:type="dxa" w:w="120"/>
            </w:tcMar>
          </w:tcPr>
          <w:p>
            <w:r/>
            <w:r>
              <w:rPr>
                <w:b/>
              </w:rPr>
              <w:t>Letter confirming the dwelling meets its required Bushfire Attack Level (BAL)</w:t>
            </w:r>
          </w:p>
        </w:tc>
        <w:tc>
          <w:tcPr>
            <w:tcW w:type="dxa" w:w="4000"/>
            <w:shd w:fill="F4F2EE" w:val="clear"/>
            <w:tcMar>
              <w:top w:type="dxa" w:w="80"/>
              <w:left w:type="dxa" w:w="120"/>
              <w:bottom w:type="dxa" w:w="80"/>
              <w:right w:type="dxa" w:w="120"/>
            </w:tcMar>
          </w:tcPr>
          <w:p>
            <w:r/>
            <w:r>
              <w:rPr>
                <w:b w:val="0"/>
              </w:rPr>
              <w:t>If applicable</w:t>
            </w:r>
          </w:p>
        </w:tc>
      </w:tr>
    </w:tbl>
    <w:p>
      <w:pPr>
        <w:spacing w:after="160"/>
      </w:pPr>
      <w:r>
        <w:rPr>
          <w:color w:val="5B554A"/>
        </w:rPr>
        <w:t>This is one council’s published version of the checklist a building surveyor works from; the exact document list a given surveyor asks for can vary slightly with what the job actually involved (an internal-only alteration wouldn’t need the septic or bushfire items, for instance).</w:t>
      </w:r>
    </w:p>
    <w:p>
      <w:pPr>
        <w:pStyle w:val="Heading2"/>
        <w:spacing w:after="120" w:before="240"/>
      </w:pPr>
      <w:r>
        <w:t>Worked example (mocked, same demo job — extension, electrical and plumbing both touched)</w:t>
      </w:r>
    </w:p>
    <w:tbl>
      <w:tblPr>
        <w:tblW w:type="dxa" w:w="9350"/>
        <w:tblLook w:firstColumn="1" w:firstRow="1" w:lastColumn="0" w:lastRow="0" w:noHBand="0" w:noVBand="1" w:val="04A0"/>
        <w:tblW/>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8A5A12" w:val="clear"/>
            <w:tcMar>
              <w:top w:type="dxa" w:w="80"/>
              <w:left w:type="dxa" w:w="120"/>
              <w:bottom w:type="dxa" w:w="80"/>
              <w:right w:type="dxa" w:w="120"/>
            </w:tcMar>
          </w:tcPr>
          <w:p>
            <w:r/>
            <w:r>
              <w:rPr>
                <w:b/>
                <w:color w:val="FFFFFF"/>
              </w:rPr>
              <w:t>Document</w:t>
            </w:r>
          </w:p>
        </w:tc>
        <w:tc>
          <w:tcPr>
            <w:tcW w:type="dxa" w:w="4000"/>
            <w:shd w:fill="8A5A12" w:val="clear"/>
            <w:tcMar>
              <w:top w:type="dxa" w:w="80"/>
              <w:left w:type="dxa" w:w="120"/>
              <w:bottom w:type="dxa" w:w="80"/>
              <w:right w:type="dxa" w:w="120"/>
            </w:tcMar>
          </w:tcPr>
          <w:p>
            <w:r/>
            <w:r>
              <w:rPr>
                <w:b/>
                <w:color w:val="FFFFFF"/>
              </w:rPr>
              <w:t>Ironbark Site Services demo status</w:t>
            </w:r>
          </w:p>
        </w:tc>
      </w:tr>
      <w:tr>
        <w:tc>
          <w:tcPr>
            <w:tcW w:type="dxa" w:w="5350"/>
            <w:shd w:fill="F4F2EE" w:val="clear"/>
            <w:tcMar>
              <w:top w:type="dxa" w:w="80"/>
              <w:left w:type="dxa" w:w="120"/>
              <w:bottom w:type="dxa" w:w="80"/>
              <w:right w:type="dxa" w:w="120"/>
            </w:tcMar>
          </w:tcPr>
          <w:p>
            <w:r/>
            <w:r>
              <w:rPr>
                <w:b/>
              </w:rPr>
              <w:t>Application for an Occupancy Permit form</w:t>
            </w:r>
          </w:p>
        </w:tc>
        <w:tc>
          <w:tcPr>
            <w:tcW w:type="dxa" w:w="4000"/>
            <w:shd w:fill="F4F2EE" w:val="clear"/>
            <w:tcMar>
              <w:top w:type="dxa" w:w="80"/>
              <w:left w:type="dxa" w:w="120"/>
              <w:bottom w:type="dxa" w:w="80"/>
              <w:right w:type="dxa" w:w="120"/>
            </w:tcMar>
          </w:tcPr>
          <w:p>
            <w:r/>
            <w:r>
              <w:rPr>
                <w:b w:val="0"/>
              </w:rPr>
              <w:t>Signed by J. Alvarez, submitted to the building surveyor</w:t>
            </w:r>
          </w:p>
        </w:tc>
      </w:tr>
      <w:tr>
        <w:tc>
          <w:tcPr>
            <w:tcW w:type="dxa" w:w="5350"/>
            <w:shd w:fill="FFFFFF" w:val="clear"/>
            <w:tcMar>
              <w:top w:type="dxa" w:w="80"/>
              <w:left w:type="dxa" w:w="120"/>
              <w:bottom w:type="dxa" w:w="80"/>
              <w:right w:type="dxa" w:w="120"/>
            </w:tcMar>
          </w:tcPr>
          <w:p>
            <w:r/>
            <w:r>
              <w:rPr>
                <w:b/>
              </w:rPr>
              <w:t>CES</w:t>
            </w:r>
          </w:p>
        </w:tc>
        <w:tc>
          <w:tcPr>
            <w:tcW w:type="dxa" w:w="4000"/>
            <w:shd w:fill="FFFFFF" w:val="clear"/>
            <w:tcMar>
              <w:top w:type="dxa" w:w="80"/>
              <w:left w:type="dxa" w:w="120"/>
              <w:bottom w:type="dxa" w:w="80"/>
              <w:right w:type="dxa" w:w="120"/>
            </w:tcMar>
          </w:tcPr>
          <w:p>
            <w:r/>
            <w:r>
              <w:rPr>
                <w:b w:val="0"/>
              </w:rPr>
              <w:t>Attached, from the electrician who did the extension’s wiring</w:t>
            </w:r>
          </w:p>
        </w:tc>
      </w:tr>
      <w:tr>
        <w:tc>
          <w:tcPr>
            <w:tcW w:type="dxa" w:w="5350"/>
            <w:shd w:fill="F4F2EE" w:val="clear"/>
            <w:tcMar>
              <w:top w:type="dxa" w:w="80"/>
              <w:left w:type="dxa" w:w="120"/>
              <w:bottom w:type="dxa" w:w="80"/>
              <w:right w:type="dxa" w:w="120"/>
            </w:tcMar>
          </w:tcPr>
          <w:p>
            <w:r/>
            <w:r>
              <w:rPr>
                <w:b/>
              </w:rPr>
              <w:t>Plumbing Certificate of Compliance</w:t>
            </w:r>
          </w:p>
        </w:tc>
        <w:tc>
          <w:tcPr>
            <w:tcW w:type="dxa" w:w="4000"/>
            <w:shd w:fill="F4F2EE" w:val="clear"/>
            <w:tcMar>
              <w:top w:type="dxa" w:w="80"/>
              <w:left w:type="dxa" w:w="120"/>
              <w:bottom w:type="dxa" w:w="80"/>
              <w:right w:type="dxa" w:w="120"/>
            </w:tcMar>
          </w:tcPr>
          <w:p>
            <w:r/>
            <w:r>
              <w:rPr>
                <w:b w:val="0"/>
              </w:rPr>
              <w:t>Attached — job was under $750 in plumbing value so a compliance certificate rather than a permit applies</w:t>
            </w:r>
          </w:p>
        </w:tc>
      </w:tr>
      <w:tr>
        <w:tc>
          <w:tcPr>
            <w:tcW w:type="dxa" w:w="5350"/>
            <w:shd w:fill="FFFFFF" w:val="clear"/>
            <w:tcMar>
              <w:top w:type="dxa" w:w="80"/>
              <w:left w:type="dxa" w:w="120"/>
              <w:bottom w:type="dxa" w:w="80"/>
              <w:right w:type="dxa" w:w="120"/>
            </w:tcMar>
          </w:tcPr>
          <w:p>
            <w:r/>
            <w:r>
              <w:rPr>
                <w:b/>
              </w:rPr>
              <w:t>Termite protection</w:t>
            </w:r>
          </w:p>
        </w:tc>
        <w:tc>
          <w:tcPr>
            <w:tcW w:type="dxa" w:w="4000"/>
            <w:shd w:fill="FFFFFF" w:val="clear"/>
            <w:tcMar>
              <w:top w:type="dxa" w:w="80"/>
              <w:left w:type="dxa" w:w="120"/>
              <w:bottom w:type="dxa" w:w="80"/>
              <w:right w:type="dxa" w:w="120"/>
            </w:tcMar>
          </w:tcPr>
          <w:p>
            <w:r/>
            <w:r>
              <w:rPr>
                <w:b w:val="0"/>
              </w:rPr>
              <w:t>Not applicable — no new footings requiring fresh treatment</w:t>
            </w:r>
          </w:p>
        </w:tc>
      </w:tr>
      <w:tr>
        <w:tc>
          <w:tcPr>
            <w:tcW w:type="dxa" w:w="5350"/>
            <w:shd w:fill="F4F2EE" w:val="clear"/>
            <w:tcMar>
              <w:top w:type="dxa" w:w="80"/>
              <w:left w:type="dxa" w:w="120"/>
              <w:bottom w:type="dxa" w:w="80"/>
              <w:right w:type="dxa" w:w="120"/>
            </w:tcMar>
          </w:tcPr>
          <w:p>
            <w:r/>
            <w:r>
              <w:rPr>
                <w:b/>
              </w:rPr>
              <w:t>Glazier’s certificate</w:t>
            </w:r>
          </w:p>
        </w:tc>
        <w:tc>
          <w:tcPr>
            <w:tcW w:type="dxa" w:w="4000"/>
            <w:shd w:fill="F4F2EE" w:val="clear"/>
            <w:tcMar>
              <w:top w:type="dxa" w:w="80"/>
              <w:left w:type="dxa" w:w="120"/>
              <w:bottom w:type="dxa" w:w="80"/>
              <w:right w:type="dxa" w:w="120"/>
            </w:tcMar>
          </w:tcPr>
          <w:p>
            <w:r/>
            <w:r>
              <w:rPr>
                <w:b w:val="0"/>
              </w:rPr>
              <w:t>Attached — new windows installed as part of the extension</w:t>
            </w:r>
          </w:p>
        </w:tc>
      </w:tr>
      <w:tr>
        <w:tc>
          <w:tcPr>
            <w:tcW w:type="dxa" w:w="5350"/>
            <w:shd w:fill="FFFFFF" w:val="clear"/>
            <w:tcMar>
              <w:top w:type="dxa" w:w="80"/>
              <w:left w:type="dxa" w:w="120"/>
              <w:bottom w:type="dxa" w:w="80"/>
              <w:right w:type="dxa" w:w="120"/>
            </w:tcMar>
          </w:tcPr>
          <w:p>
            <w:r/>
            <w:r>
              <w:rPr>
                <w:b/>
              </w:rPr>
              <w:t>Energy compliance letter</w:t>
            </w:r>
          </w:p>
        </w:tc>
        <w:tc>
          <w:tcPr>
            <w:tcW w:type="dxa" w:w="4000"/>
            <w:shd w:fill="FFFFFF" w:val="clear"/>
            <w:tcMar>
              <w:top w:type="dxa" w:w="80"/>
              <w:left w:type="dxa" w:w="120"/>
              <w:bottom w:type="dxa" w:w="80"/>
              <w:right w:type="dxa" w:w="120"/>
            </w:tcMar>
          </w:tcPr>
          <w:p>
            <w:r/>
            <w:r>
              <w:rPr>
                <w:b w:val="0"/>
              </w:rPr>
              <w:t>Attached</w:t>
            </w:r>
          </w:p>
        </w:tc>
      </w:tr>
      <w:tr>
        <w:tc>
          <w:tcPr>
            <w:tcW w:type="dxa" w:w="5350"/>
            <w:shd w:fill="F4F2EE" w:val="clear"/>
            <w:tcMar>
              <w:top w:type="dxa" w:w="80"/>
              <w:left w:type="dxa" w:w="120"/>
              <w:bottom w:type="dxa" w:w="80"/>
              <w:right w:type="dxa" w:w="120"/>
            </w:tcMar>
          </w:tcPr>
          <w:p>
            <w:r/>
            <w:r>
              <w:rPr>
                <w:b/>
              </w:rPr>
              <w:t>Waterproofing certificate</w:t>
            </w:r>
          </w:p>
        </w:tc>
        <w:tc>
          <w:tcPr>
            <w:tcW w:type="dxa" w:w="4000"/>
            <w:shd w:fill="F4F2EE" w:val="clear"/>
            <w:tcMar>
              <w:top w:type="dxa" w:w="80"/>
              <w:left w:type="dxa" w:w="120"/>
              <w:bottom w:type="dxa" w:w="80"/>
              <w:right w:type="dxa" w:w="120"/>
            </w:tcMar>
          </w:tcPr>
          <w:p>
            <w:r/>
            <w:r>
              <w:rPr>
                <w:b w:val="0"/>
              </w:rPr>
              <w:t>Not applicable — no new wet areas</w:t>
            </w:r>
          </w:p>
        </w:tc>
      </w:tr>
      <w:tr>
        <w:tc>
          <w:tcPr>
            <w:tcW w:type="dxa" w:w="5350"/>
            <w:shd w:fill="FFFFFF" w:val="clear"/>
            <w:tcMar>
              <w:top w:type="dxa" w:w="80"/>
              <w:left w:type="dxa" w:w="120"/>
              <w:bottom w:type="dxa" w:w="80"/>
              <w:right w:type="dxa" w:w="120"/>
            </w:tcMar>
          </w:tcPr>
          <w:p>
            <w:r/>
            <w:r>
              <w:rPr>
                <w:b/>
              </w:rPr>
              <w:t>Septic approval</w:t>
            </w:r>
          </w:p>
        </w:tc>
        <w:tc>
          <w:tcPr>
            <w:tcW w:type="dxa" w:w="4000"/>
            <w:shd w:fill="FFFFFF" w:val="clear"/>
            <w:tcMar>
              <w:top w:type="dxa" w:w="80"/>
              <w:left w:type="dxa" w:w="120"/>
              <w:bottom w:type="dxa" w:w="80"/>
              <w:right w:type="dxa" w:w="120"/>
            </w:tcMar>
          </w:tcPr>
          <w:p>
            <w:r/>
            <w:r>
              <w:rPr>
                <w:b w:val="0"/>
              </w:rPr>
              <w:t>Not applicable — connected to mains sewer</w:t>
            </w:r>
          </w:p>
        </w:tc>
      </w:tr>
      <w:tr>
        <w:tc>
          <w:tcPr>
            <w:tcW w:type="dxa" w:w="5350"/>
            <w:shd w:fill="F4F2EE" w:val="clear"/>
            <w:tcMar>
              <w:top w:type="dxa" w:w="80"/>
              <w:left w:type="dxa" w:w="120"/>
              <w:bottom w:type="dxa" w:w="80"/>
              <w:right w:type="dxa" w:w="120"/>
            </w:tcMar>
          </w:tcPr>
          <w:p>
            <w:r/>
            <w:r>
              <w:rPr>
                <w:b/>
              </w:rPr>
              <w:t>Bushfire compliance letter</w:t>
            </w:r>
          </w:p>
        </w:tc>
        <w:tc>
          <w:tcPr>
            <w:tcW w:type="dxa" w:w="4000"/>
            <w:shd w:fill="F4F2EE" w:val="clear"/>
            <w:tcMar>
              <w:top w:type="dxa" w:w="80"/>
              <w:left w:type="dxa" w:w="120"/>
              <w:bottom w:type="dxa" w:w="80"/>
              <w:right w:type="dxa" w:w="120"/>
            </w:tcMar>
          </w:tcPr>
          <w:p>
            <w:r/>
            <w:r>
              <w:rPr>
                <w:b w:val="0"/>
              </w:rPr>
              <w:t>Not applicable — not in a designated bushfire area</w:t>
            </w:r>
          </w:p>
        </w:tc>
      </w:tr>
    </w:tbl>
    <w:p>
      <w:pPr>
        <w:pStyle w:val="Heading2"/>
        <w:spacing w:after="120" w:before="240"/>
      </w:pPr>
      <w:r>
        <w:t>Sources</w:t>
      </w:r>
    </w:p>
    <w:p>
      <w:pPr>
        <w:pStyle w:val="ListParagraph"/>
        <w:numPr>
          <w:ilvl w:val="0"/>
          <w:numId w:val="2"/>
        </w:numPr>
        <w:spacing w:after="80"/>
      </w:pPr>
      <w:hyperlink r:id="rId17">
        <w:r>
          <w:rPr>
            <w:rStyle w:val="Hyperlink"/>
          </w:rPr>
          <w:t xml:space="preserve">Greater Shepparton City Council: Occupancy Permit/Certificate of Final documentation checklist</w:t>
        </w:r>
      </w:hyperlink>
    </w:p>
    <w:p>
      <w:pPr>
        <w:pStyle w:val="ListParagraph"/>
        <w:numPr>
          <w:ilvl w:val="0"/>
          <w:numId w:val="2"/>
        </w:numPr>
        <w:spacing w:after="80"/>
      </w:pPr>
      <w:hyperlink r:id="rId18">
        <w:r>
          <w:rPr>
            <w:rStyle w:val="Hyperlink"/>
          </w:rPr>
          <w:t xml:space="preserve">Knox City Council: Occupancy permit and certificate of final inspection</w:t>
        </w:r>
      </w:hyperlink>
    </w:p>
    <w:p>
      <w:pPr>
        <w:pStyle w:val="ListParagraph"/>
        <w:numPr>
          <w:ilvl w:val="0"/>
          <w:numId w:val="2"/>
        </w:numPr>
        <w:spacing w:after="80"/>
      </w:pPr>
      <w:hyperlink r:id="rId19">
        <w:r>
          <w:rPr>
            <w:rStyle w:val="Hyperlink"/>
          </w:rPr>
          <w:t xml:space="preserve">BPC: At the end of your building project</w:t>
        </w:r>
      </w:hyperlink>
    </w:p>
    <w:p>
      <w:r>
        <w:br w:type="page"/>
      </w:r>
    </w:p>
    <w:p>
      <w:pPr>
        <w:pStyle w:val="Heading1"/>
        <w:spacing w:after="160" w:before="320"/>
      </w:pPr>
      <w:r>
        <w:t>What This Means for the Build — Carpentry &amp; Renovation</w:t>
      </w:r>
    </w:p>
    <w:p>
      <w:pPr>
        <w:pStyle w:val="ListParagraph"/>
        <w:numPr>
          <w:ilvl w:val="0"/>
          <w:numId w:val="2"/>
        </w:numPr>
        <w:spacing w:after="80"/>
      </w:pPr>
      <w:r>
        <w:t>All four items still fit the existing Third-Party Request status flow: Not Started → Drafting → Ready to Send → Pending → Done/Overdue.</w:t>
      </w:r>
    </w:p>
    <w:p>
      <w:pPr>
        <w:pStyle w:val="ListParagraph"/>
        <w:numPr>
          <w:ilvl w:val="0"/>
          <w:numId w:val="2"/>
        </w:numPr>
        <w:spacing w:after="80"/>
      </w:pPr>
      <w:r>
        <w:t>Building Permit (Form 1) is the clean case, same shape as BYDA: one statutory form, fixed fields, Site Ahead can draft the whole thing.</w:t>
      </w:r>
    </w:p>
    <w:p>
      <w:pPr>
        <w:pStyle w:val="ListParagraph"/>
        <w:numPr>
          <w:ilvl w:val="0"/>
          <w:numId w:val="2"/>
        </w:numPr>
        <w:spacing w:after="80"/>
      </w:pPr>
      <w:r>
        <w:t>Certificate of Consent and Home Warranty are the ad hoc cases, same shape as the LEI booking: real, confirmed processes, but no downloadable fixed-field form — Site Ahead should draft a structured summary of what’s needed (documents to gather, distributor to contact) rather than a fake form.</w:t>
      </w:r>
    </w:p>
    <w:p>
      <w:pPr>
        <w:pStyle w:val="ListParagraph"/>
        <w:numPr>
          <w:ilvl w:val="0"/>
          <w:numId w:val="2"/>
        </w:numPr>
        <w:spacing w:after="80"/>
      </w:pPr>
      <w:r>
        <w:t>Occupancy Permit / Certificate of Final Inspection sits in between: a prescribed form exists in principle (Form 5) but a supporting-document checklist, not the form’s own fields, is what’s actually confirmed here — draft against that checklist and flag the form itself as “lodge with your building surveyor,” not a field-by-field autofill.</w:t>
      </w:r>
    </w:p>
    <w:p>
      <w:pPr>
        <w:pStyle w:val="ListParagraph"/>
        <w:numPr>
          <w:ilvl w:val="0"/>
          <w:numId w:val="2"/>
        </w:numPr>
        <w:spacing w:after="80"/>
      </w:pPr>
      <w:r>
        <w:t>Certificate of Consent has to resolve before the Building Permit application can be finalised on the owner-builder path (its number is a field on Form 1) — worth reflecting in whatever ordering logic the checklist engine uses.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18qfyfewuumsjgej2sox" Type="http://schemas.openxmlformats.org/officeDocument/2006/relationships/hyperlink" Target="https://smarterwx.1100.com.au/help/article/lodging-enquiries/" TargetMode="External"/><Relationship Id="rIdczempj-t-vwydjjpleyac" Type="http://schemas.openxmlformats.org/officeDocument/2006/relationships/hyperlink" Target="https://smarterwx.1100.com.au/help/article/enquiry-details/" TargetMode="External"/><Relationship Id="rIdgt8idq9kp1kbuj-e5ksmg" Type="http://schemas.openxmlformats.org/officeDocument/2006/relationships/hyperlink" Target="https://smarterwx.1100.com.au/help/article/drawing-your-job-site/" TargetMode="External"/><Relationship Id="rIdocldu4uwpuv6fratjm6mh" Type="http://schemas.openxmlformats.org/officeDocument/2006/relationships/hyperlink" Target="https://smarterwx.1100.com.au/help/article/automating-enquiry-lodgement/" TargetMode="External"/><Relationship Id="rIdiubw6cm5s8d3jolrj1ky5" Type="http://schemas.openxmlformats.org/officeDocument/2006/relationships/hyperlink" Target="https://smarterwx.1100.com.au/help/wp-content/uploads/2021/05/api-spec/enquiries.html" TargetMode="External"/><Relationship Id="rIdpxsnkwdljb_090b4lnugg" Type="http://schemas.openxmlformats.org/officeDocument/2006/relationships/hyperlink" Target="https://www.byda.com.au/before-you-dig/guide-to-free-plans/" TargetMode="External"/><Relationship Id="rIdj9lcfybklwsgd713ah9o8" Type="http://schemas.openxmlformats.org/officeDocument/2006/relationships/hyperlink" Target="https://www.byda.com.au/faqs/" TargetMode="External"/><Relationship Id="rId-1ln-qmm5trxvenytozde" Type="http://schemas.openxmlformats.org/officeDocument/2006/relationships/hyperlink" Target="https://www.energysafe.vic.gov.au/certificates-electrical-safety" TargetMode="External"/><Relationship Id="rIdauhksmrqpsvjmc5cgqfis" Type="http://schemas.openxmlformats.org/officeDocument/2006/relationships/hyperlink" Target="https://www.energysafe.vic.gov.au/certificates-electrical-safety/obligations-and-guidelines/prescribed-and-non-prescribed-work" TargetMode="External"/><Relationship Id="rIdnpvnxe3jzu1dcdfdvwbeh" Type="http://schemas.openxmlformats.org/officeDocument/2006/relationships/hyperlink" Target="https://www.energysafe.vic.gov.au/licensing/your-responsibilities/licensed-electrical-inspectors" TargetMode="External"/><Relationship Id="rIdzgxxmfpa7gd3j9iyq3zwp" Type="http://schemas.openxmlformats.org/officeDocument/2006/relationships/hyperlink" Target="https://www.energysafe.vic.gov.au/certificates-electrical-safety/esvconnect-certificates-electrical-safety" TargetMode="External"/><Relationship Id="rId0wddcsijvfsk5xvhskcn8" Type="http://schemas.openxmlformats.org/officeDocument/2006/relationships/hyperlink" Target="https://www.energysafe.vic.gov.au/certificates-electrical-safety/paper-certificates-electrical-safety" TargetMode="External"/><Relationship Id="rIdzio8i1vmbh3tcgzd4f5mo" Type="http://schemas.openxmlformats.org/officeDocument/2006/relationships/hyperlink" Target="https://www.energysafe.vic.gov.au/certificates-electrical-safety/obligations-and-guidelines/important-documents-and-forms" TargetMode="External"/><Relationship Id="rId20" Type="http://schemas.openxmlformats.org/officeDocument/2006/relationships/fontTable" Target="fontTable.xml"/><Relationship Id="rId7" Type="http://schemas.openxmlformats.org/officeDocument/2006/relationships/hyperlink" Target="https://www.bsvic.com.au/downloads/Form%201%20-%20Building%20Permit%20Application%20Form.pdf" TargetMode="External"/><Relationship Id="rId8" Type="http://schemas.openxmlformats.org/officeDocument/2006/relationships/hyperlink" Target="https://www.centralgoldfields.vic.gov.au/files/sharedassets/public/v/1/1-your-services/services/building-and-planning/building/forms/20200226-form-1-building-permit-application-2019-2020.pdf" TargetMode="External"/><Relationship Id="rId9" Type="http://schemas.openxmlformats.org/officeDocument/2006/relationships/hyperlink" Target="https://classic.austlii.edu.au/au/legis/vic/consol_reg/br2018200/s24.html" TargetMode="External"/><Relationship Id="rId10" Type="http://schemas.openxmlformats.org/officeDocument/2006/relationships/hyperlink" Target="https://www.bpc.vic.gov.au/owner-builders/becoming-an-owner-builder/certificate-of-consent" TargetMode="External"/><Relationship Id="rId11" Type="http://schemas.openxmlformats.org/officeDocument/2006/relationships/hyperlink" Target="https://www.bpc.vic.gov.au/owner-builders/becoming-an-owner-builder/apply" TargetMode="External"/><Relationship Id="rId12" Type="http://schemas.openxmlformats.org/officeDocument/2006/relationships/hyperlink" Target="https://www.bpc.vic.gov.au/owner-builders/becoming-an-owner-builder/eligibility" TargetMode="External"/><Relationship Id="rId13" Type="http://schemas.openxmlformats.org/officeDocument/2006/relationships/hyperlink" Target="https://www.yarriambiack.vic.gov.au/files/sharedassets/public/v/2/documents/planning-and-building/building/prs-han-008-owner-builder-information-and-study-guide.pdf" TargetMode="External"/><Relationship Id="rId14" Type="http://schemas.openxmlformats.org/officeDocument/2006/relationships/hyperlink" Target="https://www.bpc.vic.gov.au/builders/builders-insurance/what-builders-need-to-know-about-new-insurance" TargetMode="External"/><Relationship Id="rId15" Type="http://schemas.openxmlformats.org/officeDocument/2006/relationships/hyperlink" Target="https://www.bpc.vic.gov.au/builders/builders-insurance/arrange-home-warranty-for-a-project" TargetMode="External"/><Relationship Id="rId16" Type="http://schemas.openxmlformats.org/officeDocument/2006/relationships/hyperlink" Target="https://www.bpc.vic.gov.au/home-owners/insurance-for-domestic-building-work/domestic-building-insurance-and-home-warranty" TargetMode="External"/><Relationship Id="rId17" Type="http://schemas.openxmlformats.org/officeDocument/2006/relationships/hyperlink" Target="https://greatershepparton.com.au/assets/files/documents/building/forms/Occupancy_Permit_Certificate_of_Final_documentation_required_final_inspection.PDF" TargetMode="External"/><Relationship Id="rId18" Type="http://schemas.openxmlformats.org/officeDocument/2006/relationships/hyperlink" Target="https://www.knox.vic.gov.au/our-services/building-and-planning/building/building-permits-and-approvals/occupancy-permit-certificate-final-inspection" TargetMode="External"/><Relationship Id="rId19" Type="http://schemas.openxmlformats.org/officeDocument/2006/relationships/hyperlink" Target="https://www.bpc.vic.gov.au/home-owners/home-renovation-and-building-essentials/at-the-end-of-your-building-project"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2026-09-12T22:51:16.889Z</dcterms:created>
  <dcterms:modified xsi:type="dcterms:W3CDTF">2026-09-12T22:51:16.889Z</dcterms:modified>
</cp:coreProperties>
</file>

<file path=docProps/custom.xml><?xml version="1.0" encoding="utf-8"?>
<Properties xmlns="http://schemas.openxmlformats.org/officeDocument/2006/custom-properties" xmlns:vt="http://schemas.openxmlformats.org/officeDocument/2006/docPropsVTypes"/>
</file>