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A61" w14:textId="77777777" w:rsidR="002153CB" w:rsidRDefault="002153CB">
      <w:pPr>
        <w:jc w:val="center"/>
        <w:rPr>
          <w:rFonts w:ascii="Century Schoolbook" w:eastAsia="Century Schoolbook" w:hAnsi="Century Schoolbook" w:cs="Century Schoolbook"/>
          <w:sz w:val="36"/>
          <w:szCs w:val="36"/>
        </w:rPr>
      </w:pPr>
    </w:p>
    <w:p w14:paraId="1B39027E" w14:textId="77777777" w:rsidR="002153CB" w:rsidRDefault="002153CB">
      <w:pPr>
        <w:jc w:val="center"/>
        <w:rPr>
          <w:rFonts w:ascii="Century Schoolbook" w:eastAsia="Century Schoolbook" w:hAnsi="Century Schoolbook" w:cs="Century Schoolbook"/>
          <w:b/>
          <w:sz w:val="46"/>
          <w:szCs w:val="46"/>
        </w:rPr>
      </w:pPr>
    </w:p>
    <w:p w14:paraId="75215AC9" w14:textId="77777777" w:rsidR="002153CB" w:rsidRDefault="002153CB">
      <w:pPr>
        <w:jc w:val="center"/>
        <w:rPr>
          <w:rFonts w:ascii="Century Schoolbook" w:eastAsia="Century Schoolbook" w:hAnsi="Century Schoolbook" w:cs="Century Schoolbook"/>
          <w:b/>
          <w:sz w:val="46"/>
          <w:szCs w:val="46"/>
        </w:rPr>
      </w:pPr>
    </w:p>
    <w:p w14:paraId="1BA4C802" w14:textId="77777777" w:rsidR="002153CB" w:rsidRDefault="002153CB">
      <w:pPr>
        <w:jc w:val="center"/>
        <w:rPr>
          <w:rFonts w:ascii="Century Schoolbook" w:eastAsia="Century Schoolbook" w:hAnsi="Century Schoolbook" w:cs="Century Schoolbook"/>
          <w:b/>
          <w:sz w:val="46"/>
          <w:szCs w:val="46"/>
        </w:rPr>
      </w:pPr>
    </w:p>
    <w:p w14:paraId="1B99B94A" w14:textId="77777777" w:rsidR="002153CB" w:rsidRDefault="002153CB">
      <w:pPr>
        <w:jc w:val="center"/>
        <w:rPr>
          <w:rFonts w:ascii="Century Schoolbook" w:eastAsia="Century Schoolbook" w:hAnsi="Century Schoolbook" w:cs="Century Schoolbook"/>
          <w:b/>
          <w:sz w:val="46"/>
          <w:szCs w:val="46"/>
        </w:rPr>
      </w:pPr>
    </w:p>
    <w:p w14:paraId="73660713" w14:textId="77777777" w:rsidR="002153CB" w:rsidRDefault="00000000">
      <w:pPr>
        <w:jc w:val="center"/>
        <w:rPr>
          <w:rFonts w:ascii="Century Schoolbook" w:eastAsia="Century Schoolbook" w:hAnsi="Century Schoolbook" w:cs="Century Schoolbook"/>
          <w:b/>
          <w:sz w:val="46"/>
          <w:szCs w:val="46"/>
        </w:rPr>
      </w:pPr>
      <w:proofErr w:type="spellStart"/>
      <w:r>
        <w:rPr>
          <w:rFonts w:ascii="Century Schoolbook" w:eastAsia="Century Schoolbook" w:hAnsi="Century Schoolbook" w:cs="Century Schoolbook"/>
          <w:b/>
          <w:sz w:val="46"/>
          <w:szCs w:val="46"/>
        </w:rPr>
        <w:t>MAXGBoost</w:t>
      </w:r>
      <w:proofErr w:type="spellEnd"/>
      <w:r>
        <w:rPr>
          <w:rFonts w:ascii="Century Schoolbook" w:eastAsia="Century Schoolbook" w:hAnsi="Century Schoolbook" w:cs="Century Schoolbook"/>
          <w:b/>
          <w:sz w:val="46"/>
          <w:szCs w:val="46"/>
        </w:rPr>
        <w:t>: A Fast Novel Heuristic Approach to Adaptive Learning Rates in Gradient Boosted Decision Trees</w:t>
      </w:r>
    </w:p>
    <w:p w14:paraId="2C2A50C6" w14:textId="77777777" w:rsidR="002153CB" w:rsidRDefault="002153CB">
      <w:pPr>
        <w:rPr>
          <w:rFonts w:ascii="Century Schoolbook" w:eastAsia="Century Schoolbook" w:hAnsi="Century Schoolbook" w:cs="Century Schoolbook"/>
        </w:rPr>
      </w:pPr>
    </w:p>
    <w:p w14:paraId="6E6992EB" w14:textId="77777777" w:rsidR="002153CB" w:rsidRDefault="002153CB">
      <w:pPr>
        <w:jc w:val="center"/>
        <w:rPr>
          <w:rFonts w:ascii="Century Schoolbook" w:eastAsia="Century Schoolbook" w:hAnsi="Century Schoolbook" w:cs="Century Schoolbook"/>
        </w:rPr>
      </w:pPr>
    </w:p>
    <w:p w14:paraId="63363D27" w14:textId="77777777" w:rsidR="002153CB" w:rsidRDefault="002153CB">
      <w:pPr>
        <w:jc w:val="center"/>
        <w:rPr>
          <w:rFonts w:ascii="Century Schoolbook" w:eastAsia="Century Schoolbook" w:hAnsi="Century Schoolbook" w:cs="Century Schoolbook"/>
        </w:rPr>
      </w:pPr>
    </w:p>
    <w:p w14:paraId="32D4DDB5" w14:textId="77777777" w:rsidR="002153CB" w:rsidRDefault="002153CB">
      <w:pPr>
        <w:jc w:val="center"/>
        <w:rPr>
          <w:rFonts w:ascii="Century Schoolbook" w:eastAsia="Century Schoolbook" w:hAnsi="Century Schoolbook" w:cs="Century Schoolbook"/>
        </w:rPr>
      </w:pPr>
    </w:p>
    <w:p w14:paraId="2B4A28BF" w14:textId="42F327B7" w:rsidR="002153CB" w:rsidRDefault="00000000">
      <w:pPr>
        <w:jc w:val="center"/>
        <w:rPr>
          <w:rFonts w:ascii="Century Schoolbook" w:eastAsia="Century Schoolbook" w:hAnsi="Century Schoolbook" w:cs="Century Schoolbook"/>
          <w:sz w:val="24"/>
          <w:szCs w:val="24"/>
        </w:rPr>
      </w:pPr>
      <w:r>
        <w:rPr>
          <w:rFonts w:ascii="Century Schoolbook" w:eastAsia="Century Schoolbook" w:hAnsi="Century Schoolbook" w:cs="Century Schoolbook"/>
          <w:sz w:val="24"/>
          <w:szCs w:val="24"/>
        </w:rPr>
        <w:t xml:space="preserve">Anirudh </w:t>
      </w:r>
      <w:proofErr w:type="spellStart"/>
      <w:r>
        <w:rPr>
          <w:rFonts w:ascii="Century Schoolbook" w:eastAsia="Century Schoolbook" w:hAnsi="Century Schoolbook" w:cs="Century Schoolbook"/>
          <w:sz w:val="24"/>
          <w:szCs w:val="24"/>
        </w:rPr>
        <w:t>Chintaluri</w:t>
      </w:r>
      <w:proofErr w:type="spellEnd"/>
      <w:r>
        <w:rPr>
          <w:rFonts w:ascii="Century Schoolbook" w:eastAsia="Century Schoolbook" w:hAnsi="Century Schoolbook" w:cs="Century Schoolbook"/>
          <w:sz w:val="24"/>
          <w:szCs w:val="24"/>
          <w:vertAlign w:val="superscript"/>
        </w:rPr>
        <w:footnoteReference w:id="1"/>
      </w:r>
      <w:r>
        <w:rPr>
          <w:rFonts w:ascii="Century Schoolbook" w:eastAsia="Century Schoolbook" w:hAnsi="Century Schoolbook" w:cs="Century Schoolbook"/>
          <w:sz w:val="24"/>
          <w:szCs w:val="24"/>
        </w:rPr>
        <w:t xml:space="preserve">, </w:t>
      </w:r>
      <w:r w:rsidR="007D4EF4">
        <w:rPr>
          <w:rFonts w:ascii="Century Schoolbook" w:eastAsia="Century Schoolbook" w:hAnsi="Century Schoolbook" w:cs="Century Schoolbook"/>
          <w:sz w:val="24"/>
          <w:szCs w:val="24"/>
        </w:rPr>
        <w:t xml:space="preserve">Vini </w:t>
      </w:r>
      <w:proofErr w:type="spellStart"/>
      <w:r w:rsidR="007D4EF4">
        <w:rPr>
          <w:rFonts w:ascii="Century Schoolbook" w:eastAsia="Century Schoolbook" w:hAnsi="Century Schoolbook" w:cs="Century Schoolbook"/>
          <w:sz w:val="24"/>
          <w:szCs w:val="24"/>
        </w:rPr>
        <w:t>Rezanejad</w:t>
      </w:r>
      <w:proofErr w:type="spellEnd"/>
      <w:r>
        <w:rPr>
          <w:rFonts w:ascii="Century Schoolbook" w:eastAsia="Century Schoolbook" w:hAnsi="Century Schoolbook" w:cs="Century Schoolbook"/>
          <w:sz w:val="24"/>
          <w:szCs w:val="24"/>
          <w:vertAlign w:val="superscript"/>
        </w:rPr>
        <w:footnoteReference w:id="2"/>
      </w:r>
      <w:r>
        <w:br w:type="page"/>
      </w:r>
    </w:p>
    <w:p w14:paraId="5709DF82"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Abstract</w:t>
      </w:r>
    </w:p>
    <w:p w14:paraId="30D059F1" w14:textId="77777777" w:rsidR="002153CB" w:rsidRDefault="00000000">
      <w:p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presents unique challenges due to highly complex imbalanced datasets and the need for efficient model training while maintaining high performance. This paper introduces Momentum Approximation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 novel approach that dynamically adjusts gradient boosted decision tree (GBDT) learning rates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depending on the loss landscape. Unlike traditional GBDTs that use static or predetermined decay schedules for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MAXGBoost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momentum, reducing the need for hyperparameter tuning while improving convergence speed. We evaluated our approach against Decision Tree, Random Forest,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and exponential decay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implementations on a real-world credit card transaction dataset containing 284,807 transactions with only 0.2% fraudulent cases. Results demonstrate that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achieves superior precision (0.93827) and accuracy (0.99980) compared to other models, though the exponential decay learning rate approach showed the best recall (0.97531) and AUC (0.98757). Our findings indicate that incorporating momentum approximation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 in GBDTs provides a promising framework for robust fraud detection capabilities.</w:t>
      </w:r>
    </w:p>
    <w:p w14:paraId="4417329D"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Introduction</w:t>
      </w:r>
    </w:p>
    <w:p w14:paraId="48FD96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Fundamentally, Gradient Boosted Decision Trees (GBDTs) work by initializing a decision tree that will be evaluated on a metric, known as the loss function. After analyzing the loss of the initial decision tree, the model will attempt to minimize the loss by moving in the direction of the negative of the gradient — that is, move in the direction where the loss function is decreasing the fastest so that the loss can be minimized and the model performance can be maximized. This behaves very similarly to neural networks’ backpropagation algorithm with the multivariate correction techniques but instead involves a decision tree that eventually boosts itself to form an ensemble decision tree model.</w:t>
      </w:r>
    </w:p>
    <w:p w14:paraId="43831100"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gramStart"/>
      <w:r>
        <w:rPr>
          <w:rFonts w:ascii="Century Schoolbook" w:eastAsia="Century Schoolbook" w:hAnsi="Century Schoolbook" w:cs="Century Schoolbook"/>
          <w:color w:val="212529"/>
          <w:sz w:val="24"/>
          <w:szCs w:val="24"/>
          <w:highlight w:val="white"/>
        </w:rPr>
        <w:t>In order for</w:t>
      </w:r>
      <w:proofErr w:type="gramEnd"/>
      <w:r>
        <w:rPr>
          <w:rFonts w:ascii="Century Schoolbook" w:eastAsia="Century Schoolbook" w:hAnsi="Century Schoolbook" w:cs="Century Schoolbook"/>
          <w:color w:val="212529"/>
          <w:sz w:val="24"/>
          <w:szCs w:val="24"/>
          <w:highlight w:val="white"/>
        </w:rPr>
        <w:t xml:space="preserve"> this GBDT algorithm to apply the direction of the negative of the gradient to the decision tree, it will add another decision tree scaled by a factor called the learning rate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showing how much the tree will go down the loss function. The choice of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critical. A low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ensures convergence but requires more iterations, increasing computational costs. Conversely, a high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accelerates convergence but risks overshooting the optimal solution (Baranovskij, 2019). According to Brownlee (2016),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 GBDTs often requires iterative experimentation, as the optimal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depends on both the dataset and the specific loss function. A well-tuned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schedule can reduce the reliance on extensive </w:t>
      </w:r>
      <w:r>
        <w:rPr>
          <w:rFonts w:ascii="Century Schoolbook" w:eastAsia="Century Schoolbook" w:hAnsi="Century Schoolbook" w:cs="Century Schoolbook"/>
          <w:color w:val="212529"/>
          <w:sz w:val="24"/>
          <w:szCs w:val="24"/>
          <w:highlight w:val="white"/>
        </w:rPr>
        <w:lastRenderedPageBreak/>
        <w:t xml:space="preserve">hyperparameter grid searches, which are computationally expensive. Moreover, </w:t>
      </w:r>
      <w:proofErr w:type="spellStart"/>
      <w:r>
        <w:rPr>
          <w:rFonts w:ascii="Century Schoolbook" w:eastAsia="Century Schoolbook" w:hAnsi="Century Schoolbook" w:cs="Century Schoolbook"/>
          <w:color w:val="212529"/>
          <w:sz w:val="24"/>
          <w:szCs w:val="24"/>
          <w:highlight w:val="white"/>
        </w:rPr>
        <w:t>Baranovskij</w:t>
      </w:r>
      <w:proofErr w:type="spellEnd"/>
      <w:r>
        <w:rPr>
          <w:rFonts w:ascii="Century Schoolbook" w:eastAsia="Century Schoolbook" w:hAnsi="Century Schoolbook" w:cs="Century Schoolbook"/>
          <w:color w:val="212529"/>
          <w:sz w:val="24"/>
          <w:szCs w:val="24"/>
          <w:highlight w:val="white"/>
        </w:rPr>
        <w:t xml:space="preserve"> (2019) highlights that adaptive strategies can reduce the sensitivity to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choices, particularly in datasets with high sparsity, where the gradient signal may vary significantly across iterations.</w:t>
      </w:r>
    </w:p>
    <w:p w14:paraId="163013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requires efficient model training while maintaining high accuracy in identifying rare fraudulent transactions. Traditional GBDTs have proven effective in handling imbalanced datasets, but for scenarios involving credit card fraud detection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usually remains constant or follows a predetermined decay schedule throughout the training process. This research introduces Momentum Approximation XGBoost (MAXGBoost), a novel adaptive learning rate approach for GBDTs that dynamically adjusts the learning rate based on loss momentum, enabling faster convergence speed without sacrificing the model’s ability to identify rare fraud cases. Unlike traditional GBDTs that require extensive hyperparameter tuning to balance convergence speed with model stability,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automatically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landscape, reducing the need for manual optimization while maintaining high detection accuracy (Bushaev, 2017).</w:t>
      </w:r>
    </w:p>
    <w:p w14:paraId="4D748167"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Related work</w:t>
      </w:r>
    </w:p>
    <w:p w14:paraId="099535C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(Chen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2016) revolutionized GBDTs by optimizing tree construction and regularization techniques, significantly improving computational efficiency. In credit card fraud detection, Mohan’s implementation of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performed well in the IEEE-CIS Fraud Detection competition (Mohan, 2021). However, the solution relied on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and therefore suffered from the </w:t>
      </w:r>
      <w:proofErr w:type="gramStart"/>
      <w:r>
        <w:rPr>
          <w:rFonts w:ascii="Century Schoolbook" w:eastAsia="Century Schoolbook" w:hAnsi="Century Schoolbook" w:cs="Century Schoolbook"/>
          <w:color w:val="212529"/>
          <w:sz w:val="24"/>
          <w:szCs w:val="24"/>
          <w:highlight w:val="white"/>
        </w:rPr>
        <w:t>aforementioned limitations</w:t>
      </w:r>
      <w:proofErr w:type="gramEnd"/>
      <w:r>
        <w:rPr>
          <w:rFonts w:ascii="Century Schoolbook" w:eastAsia="Century Schoolbook" w:hAnsi="Century Schoolbook" w:cs="Century Schoolbook"/>
          <w:color w:val="212529"/>
          <w:sz w:val="24"/>
          <w:szCs w:val="24"/>
          <w:highlight w:val="white"/>
        </w:rPr>
        <w:t>.</w:t>
      </w:r>
    </w:p>
    <w:p w14:paraId="3C3C88E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Momentum-based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adaptations have been explored in gradient descent methods for neural networks but have seen limited applications in tree-based models. Delta-Bar-Delta Boosting (Wang et al., 2024) introduced an adaptive learning mechanism inspired by momentum-based optimizations. However, it still required extensive hyperparameter tuning and exhibited slow convergence on sparse datasets, making it less practical for fraud detection scenarios.</w:t>
      </w:r>
    </w:p>
    <w:p w14:paraId="795BF00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AdaBoost framework shows limitations in both speed and accuracy compared to modern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when handling large-scale datasets. Our work builds upon its adaptive weighting concept but applies it to learning rate adjustments rather than sample weights (Beja-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2023).</w:t>
      </w:r>
    </w:p>
    <w:p w14:paraId="571564D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lastRenderedPageBreak/>
        <w:t>LightGBM</w:t>
      </w:r>
      <w:proofErr w:type="spellEnd"/>
      <w:r>
        <w:rPr>
          <w:rFonts w:ascii="Century Schoolbook" w:eastAsia="Century Schoolbook" w:hAnsi="Century Schoolbook" w:cs="Century Schoolbook"/>
          <w:color w:val="212529"/>
          <w:sz w:val="24"/>
          <w:szCs w:val="24"/>
          <w:highlight w:val="white"/>
        </w:rPr>
        <w:t xml:space="preserve"> enhanced GBDT performance through gradient-based one-side sampling and exclusive feature bundling, significantly reducing memory usage and training time. However, it maintained the same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limitations as traditional GBDTs, leaving room for improvement in adaptive rate strategies (Ke et al., 2017).</w:t>
      </w:r>
    </w:p>
    <w:p w14:paraId="6ACB3E09"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Dataset and Features</w:t>
      </w:r>
    </w:p>
    <w:p w14:paraId="1217D19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For our project, we worked with the Credit Card Fraud Detection Dataset (Credit Card Fraud Detection, n.d.). It is a highly imbalanced dataset intended to detect credit card fraud based on the following features:</w:t>
      </w:r>
    </w:p>
    <w:p w14:paraId="36D12E8E"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w:r>
        <w:rPr>
          <w:rFonts w:ascii="Century Schoolbook" w:eastAsia="Century Schoolbook" w:hAnsi="Century Schoolbook" w:cs="Century Schoolbook"/>
          <w:b/>
          <w:color w:val="212529"/>
          <w:sz w:val="24"/>
          <w:szCs w:val="24"/>
          <w:highlight w:val="white"/>
        </w:rPr>
        <w:t>Time</w:t>
      </w:r>
      <w:r>
        <w:rPr>
          <w:rFonts w:ascii="Century Schoolbook" w:eastAsia="Century Schoolbook" w:hAnsi="Century Schoolbook" w:cs="Century Schoolbook"/>
          <w:color w:val="212529"/>
          <w:sz w:val="24"/>
          <w:szCs w:val="24"/>
          <w:highlight w:val="white"/>
        </w:rPr>
        <w:t>: Time at which the credit card transaction was made.</w:t>
      </w:r>
    </w:p>
    <w:p w14:paraId="11F3D21C"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Amount</w:t>
      </w:r>
      <w:r>
        <w:rPr>
          <w:rFonts w:ascii="Century Schoolbook" w:eastAsia="Century Schoolbook" w:hAnsi="Century Schoolbook" w:cs="Century Schoolbook"/>
          <w:color w:val="212529"/>
          <w:sz w:val="24"/>
          <w:szCs w:val="24"/>
          <w:highlight w:val="white"/>
        </w:rPr>
        <w:t>: Amount of money from the Credit Card transaction.</w:t>
      </w:r>
    </w:p>
    <w:p w14:paraId="51D02B73" w14:textId="77777777" w:rsidR="002153CB" w:rsidRDefault="00000000">
      <w:pPr>
        <w:numPr>
          <w:ilvl w:val="0"/>
          <w:numId w:val="3"/>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V1-V38</w:t>
      </w:r>
      <w:r>
        <w:rPr>
          <w:rFonts w:ascii="Century Schoolbook" w:eastAsia="Century Schoolbook" w:hAnsi="Century Schoolbook" w:cs="Century Schoolbook"/>
          <w:color w:val="212529"/>
          <w:sz w:val="24"/>
          <w:szCs w:val="24"/>
          <w:highlight w:val="white"/>
        </w:rPr>
        <w:t>: Attributes V1-V38 are a result of PCA analysis done beforehand.</w:t>
      </w:r>
    </w:p>
    <w:p w14:paraId="3A1FCC38"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In our complete dataset, there are a total of 284807 instances. Of these instances, just 492 of them have been marked as credit card fraud. This means that &lt; 0.2% of our data marks the positive class. This imbalance has two major implications: first, models tend to bias heavily towards predicting the majority class, and second, traditional accuracy becomes inadequate for evaluation as a model can achieve high accuracy by always predicting the majority class.</w:t>
      </w:r>
    </w:p>
    <w:p w14:paraId="70EA5A5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We split our dataset into the following categories:</w:t>
      </w:r>
    </w:p>
    <w:p w14:paraId="69984E7C"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Training</w:t>
      </w:r>
      <w:r>
        <w:rPr>
          <w:rFonts w:ascii="Century Schoolbook" w:eastAsia="Century Schoolbook" w:hAnsi="Century Schoolbook" w:cs="Century Schoolbook"/>
          <w:color w:val="212529"/>
          <w:sz w:val="24"/>
          <w:szCs w:val="24"/>
          <w:highlight w:val="white"/>
        </w:rPr>
        <w:t>: This is used for training our models on the dataset. This comprises 68% of our data.</w:t>
      </w:r>
    </w:p>
    <w:p w14:paraId="1307E290"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Validation</w:t>
      </w:r>
      <w:r>
        <w:rPr>
          <w:rFonts w:ascii="Century Schoolbook" w:eastAsia="Century Schoolbook" w:hAnsi="Century Schoolbook" w:cs="Century Schoolbook"/>
          <w:color w:val="212529"/>
          <w:sz w:val="24"/>
          <w:szCs w:val="24"/>
          <w:highlight w:val="white"/>
        </w:rPr>
        <w:t>: This subset is used for hyperparameter tuning in our model. Validation data comprises 12% of our dataset.</w:t>
      </w:r>
    </w:p>
    <w:p w14:paraId="308B56ED" w14:textId="77777777" w:rsidR="002153CB" w:rsidRDefault="00000000">
      <w:pPr>
        <w:numPr>
          <w:ilvl w:val="0"/>
          <w:numId w:val="1"/>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Testing</w:t>
      </w:r>
      <w:r>
        <w:rPr>
          <w:rFonts w:ascii="Century Schoolbook" w:eastAsia="Century Schoolbook" w:hAnsi="Century Schoolbook" w:cs="Century Schoolbook"/>
          <w:color w:val="212529"/>
          <w:sz w:val="24"/>
          <w:szCs w:val="24"/>
          <w:highlight w:val="white"/>
        </w:rPr>
        <w:t>: This subset is used to analyze final performance of the model, as a measure of how well they will work in the real world. The remaining 20% of our dataset is composed of this data.</w:t>
      </w:r>
    </w:p>
    <w:p w14:paraId="6C9286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The dataset comprises real-world e-commerce transactions, each characterized by numerous features including temporal information, card identifiers, merchant data, and transaction amounts. What makes this dataset particularly challenging is its high-dimensional nature combined with extreme sparsity. Many features, such as merchant identifiers and card IDs, exhibit high cardinality, meaning they can take on many possible values, while individual merchants or cards appear very rarely in the dataset. This sparsity creates significant challenges for machine learning approaches that rely on dense feature representations.</w:t>
      </w:r>
    </w:p>
    <w:p w14:paraId="4C4A7C54"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Methods</w:t>
      </w:r>
    </w:p>
    <w:p w14:paraId="6090872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Traditionally, neural network weights are updated through the following method,</w:t>
      </w:r>
    </w:p>
    <w:p w14:paraId="239D6E1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-η∇L</m:t>
        </m:r>
      </m:oMath>
      <w:r>
        <w:rPr>
          <w:rFonts w:ascii="Century Schoolbook" w:eastAsia="Century Schoolbook" w:hAnsi="Century Schoolbook" w:cs="Century Schoolbook"/>
          <w:color w:val="212529"/>
          <w:sz w:val="24"/>
          <w:szCs w:val="24"/>
          <w:highlight w:val="white"/>
        </w:rPr>
        <w:t xml:space="preserve">                                             (1)</w:t>
      </w:r>
    </w:p>
    <w:p w14:paraId="6995EF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 weight of the next iteration,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oMath>
      <w:r>
        <w:rPr>
          <w:rFonts w:ascii="Century Schoolbook" w:eastAsia="Century Schoolbook" w:hAnsi="Century Schoolbook" w:cs="Century Schoolbook"/>
          <w:color w:val="212529"/>
          <w:sz w:val="24"/>
          <w:szCs w:val="24"/>
          <w:highlight w:val="white"/>
        </w:rPr>
        <w:t xml:space="preserve"> is the current weight,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the learning rate, and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is the gradient of the loss function. By applying momentum (Bushaev, 2017), gradient descent to a minimum can be made faster through the following modifications given in equations (2) and (3),</w:t>
      </w:r>
    </w:p>
    <w:p w14:paraId="3814DE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+(1-β)∇L</m:t>
        </m:r>
      </m:oMath>
      <w:r>
        <w:rPr>
          <w:rFonts w:ascii="Century Schoolbook" w:eastAsia="Century Schoolbook" w:hAnsi="Century Schoolbook" w:cs="Century Schoolbook"/>
          <w:color w:val="212529"/>
          <w:sz w:val="24"/>
          <w:szCs w:val="24"/>
          <w:highlight w:val="white"/>
        </w:rPr>
        <w:t xml:space="preserve">                                        (2)</w:t>
      </w:r>
    </w:p>
    <w:p w14:paraId="13AB972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(3)</w:t>
      </w:r>
    </w:p>
    <w:p w14:paraId="38D18BC7"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controls how influential past velocities are on the new velocity calculated, and </w:t>
      </w:r>
      <m:oMath>
        <m:r>
          <w:rPr>
            <w:rFonts w:ascii="Century Schoolbook" w:eastAsia="Century Schoolbook" w:hAnsi="Century Schoolbook" w:cs="Century Schoolbook"/>
            <w:color w:val="212529"/>
            <w:sz w:val="24"/>
            <w:szCs w:val="24"/>
            <w:highlight w:val="white"/>
          </w:rPr>
          <m:t>v</m:t>
        </m:r>
      </m:oMath>
      <w:r>
        <w:rPr>
          <w:rFonts w:ascii="Century Schoolbook" w:eastAsia="Century Schoolbook" w:hAnsi="Century Schoolbook" w:cs="Century Schoolbook"/>
          <w:color w:val="212529"/>
          <w:sz w:val="24"/>
          <w:szCs w:val="24"/>
          <w:highlight w:val="white"/>
        </w:rPr>
        <w:t xml:space="preserve"> is the velocity. In our approach, we look towards an approximation heuristic that builds </w:t>
      </w:r>
      <w:proofErr w:type="gramStart"/>
      <w:r>
        <w:rPr>
          <w:rFonts w:ascii="Century Schoolbook" w:eastAsia="Century Schoolbook" w:hAnsi="Century Schoolbook" w:cs="Century Schoolbook"/>
          <w:color w:val="212529"/>
          <w:sz w:val="24"/>
          <w:szCs w:val="24"/>
          <w:highlight w:val="white"/>
        </w:rPr>
        <w:t>off of</w:t>
      </w:r>
      <w:proofErr w:type="gramEnd"/>
      <w:r>
        <w:rPr>
          <w:rFonts w:ascii="Century Schoolbook" w:eastAsia="Century Schoolbook" w:hAnsi="Century Schoolbook" w:cs="Century Schoolbook"/>
          <w:color w:val="212529"/>
          <w:sz w:val="24"/>
          <w:szCs w:val="24"/>
          <w:highlight w:val="white"/>
        </w:rPr>
        <w:t xml:space="preserve"> this concept, summarized in equations (4) and (5).</w:t>
      </w:r>
    </w:p>
    <w:p w14:paraId="59EC335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m:t>
        </m:r>
      </m:oMath>
      <w:r>
        <w:rPr>
          <w:rFonts w:ascii="Century Schoolbook" w:eastAsia="Century Schoolbook" w:hAnsi="Century Schoolbook" w:cs="Century Schoolbook"/>
          <w:color w:val="212529"/>
          <w:sz w:val="24"/>
          <w:szCs w:val="24"/>
          <w:highlight w:val="white"/>
        </w:rPr>
        <w:t xml:space="preserve">                                  (4)</w:t>
      </w:r>
    </w:p>
    <w:p w14:paraId="557BBAC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η</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 xml:space="preserve">                                        </w:t>
      </w:r>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5)</w:t>
      </w:r>
    </w:p>
    <w:p w14:paraId="06BA048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In this approach, instead of modifying the gradient </w:t>
      </w:r>
      <w:proofErr w:type="gramStart"/>
      <w:r>
        <w:rPr>
          <w:rFonts w:ascii="Century Schoolbook" w:eastAsia="Century Schoolbook" w:hAnsi="Century Schoolbook" w:cs="Century Schoolbook"/>
          <w:color w:val="212529"/>
          <w:sz w:val="24"/>
          <w:szCs w:val="24"/>
          <w:highlight w:val="white"/>
        </w:rPr>
        <w:t>function as a whole, we</w:t>
      </w:r>
      <w:proofErr w:type="gramEnd"/>
      <w:r>
        <w:rPr>
          <w:rFonts w:ascii="Century Schoolbook" w:eastAsia="Century Schoolbook" w:hAnsi="Century Schoolbook" w:cs="Century Schoolbook"/>
          <w:color w:val="212529"/>
          <w:sz w:val="24"/>
          <w:szCs w:val="24"/>
          <w:highlight w:val="white"/>
        </w:rPr>
        <w:t xml:space="preserve"> specifically look towards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through the momentum approach, whereas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was previously constant in the neural network example. This new value of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then plugged into equation (1) for gradient boosting.</w:t>
      </w:r>
    </w:p>
    <w:p w14:paraId="294D1992"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First, we approximate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as the rate of change between the loss of the current and previous iterations of the GBDT. We then update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specifically based on the velocity. If the loss increases,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increases as it searches for a different local minimum. If the loss decreases,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decreases, attempting to converge to the local minimum it is at. By doing this approximation, we are still able to use a momentum-based heuristic approach within the fast and robust XGBoost framework, a proven framework for winning Kaggle competitions.</w:t>
      </w:r>
    </w:p>
    <w:p w14:paraId="0DDABE0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Experiments</w:t>
      </w:r>
    </w:p>
    <w:p w14:paraId="1BB99B3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Decision Tree (DT) and Random Forest (RF) were imported from the </w:t>
      </w:r>
      <w:proofErr w:type="spellStart"/>
      <w:r>
        <w:rPr>
          <w:rFonts w:ascii="Century Schoolbook" w:eastAsia="Century Schoolbook" w:hAnsi="Century Schoolbook" w:cs="Century Schoolbook"/>
          <w:color w:val="212529"/>
          <w:sz w:val="24"/>
          <w:szCs w:val="24"/>
          <w:highlight w:val="white"/>
        </w:rPr>
        <w:t>sklearn</w:t>
      </w:r>
      <w:proofErr w:type="spellEnd"/>
      <w:r>
        <w:rPr>
          <w:rFonts w:ascii="Century Schoolbook" w:eastAsia="Century Schoolbook" w:hAnsi="Century Schoolbook" w:cs="Century Schoolbook"/>
          <w:color w:val="212529"/>
          <w:sz w:val="24"/>
          <w:szCs w:val="24"/>
          <w:highlight w:val="white"/>
        </w:rPr>
        <w:t xml:space="preserve"> library (Pedregosa et al., 2018). The GBDT models included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model (CGB), Exponential decay model (EGB; Learning Rate, n.d.), and MAXGBoost. We selected the following hyperparameters:</w:t>
      </w:r>
    </w:p>
    <w:p w14:paraId="3A836F8F"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DT: Max depth = 4. This depth resulted in the best accuracy out of </w:t>
      </w:r>
      <w:proofErr w:type="gramStart"/>
      <w:r>
        <w:rPr>
          <w:rFonts w:ascii="Century Schoolbook" w:eastAsia="Century Schoolbook" w:hAnsi="Century Schoolbook" w:cs="Century Schoolbook"/>
          <w:color w:val="212529"/>
          <w:sz w:val="24"/>
          <w:szCs w:val="24"/>
          <w:highlight w:val="white"/>
        </w:rPr>
        <w:t>all of</w:t>
      </w:r>
      <w:proofErr w:type="gramEnd"/>
      <w:r>
        <w:rPr>
          <w:rFonts w:ascii="Century Schoolbook" w:eastAsia="Century Schoolbook" w:hAnsi="Century Schoolbook" w:cs="Century Schoolbook"/>
          <w:color w:val="212529"/>
          <w:sz w:val="24"/>
          <w:szCs w:val="24"/>
          <w:highlight w:val="white"/>
        </w:rPr>
        <w:t xml:space="preserve"> the possible depths.</w:t>
      </w:r>
    </w:p>
    <w:p w14:paraId="5F5B82BC"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RF: Estimators = 5. This value resulted in the best accuracy on the range from 1 to 128.</w:t>
      </w:r>
    </w:p>
    <w:p w14:paraId="54B35291"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All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Models: 423 estimators (iterations of gradient boosting). This value resulted in the best accuracy on n ∈ (1, 500). </w:t>
      </w:r>
    </w:p>
    <w:p w14:paraId="7E737092"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CGB: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0.08. This value resulted in the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2DB28075"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EGB: Multiply by 0.9 every iteration,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0.1. This exponent value gave us our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33F6E63E" w14:textId="77777777" w:rsidR="002153CB" w:rsidRDefault="00000000">
      <w:pPr>
        <w:numPr>
          <w:ilvl w:val="1"/>
          <w:numId w:val="5"/>
        </w:numPr>
        <w:shd w:val="clear" w:color="auto" w:fill="FFFFFF"/>
        <w:spacing w:after="240"/>
        <w:ind w:left="14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0.89,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 0.99. These gave us our best accuracy on </w:t>
      </w:r>
      <m:oMath>
        <m:r>
          <w:rPr>
            <w:rFonts w:ascii="Cambria Math" w:hAnsi="Cambria Math"/>
          </w:rPr>
          <m:t>η</m:t>
        </m:r>
        <m:r>
          <w:rPr>
            <w:rFonts w:ascii="Century Schoolbook" w:eastAsia="Century Schoolbook" w:hAnsi="Century Schoolbook" w:cs="Century Schoolbook"/>
            <w:color w:val="212529"/>
            <w:sz w:val="24"/>
            <w:szCs w:val="24"/>
            <w:highlight w:val="white"/>
          </w:rPr>
          <m:t>,β</m:t>
        </m:r>
      </m:oMath>
      <w:r>
        <w:rPr>
          <w:rFonts w:ascii="Century Schoolbook" w:eastAsia="Century Schoolbook" w:hAnsi="Century Schoolbook" w:cs="Century Schoolbook"/>
          <w:color w:val="212529"/>
          <w:sz w:val="24"/>
          <w:szCs w:val="24"/>
          <w:highlight w:val="white"/>
        </w:rPr>
        <w:t xml:space="preserve"> ∈ (0.01, 1)</w:t>
      </w:r>
    </w:p>
    <w:p w14:paraId="21EB94EB"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After testing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we compared it to the </w:t>
      </w:r>
      <w:proofErr w:type="gramStart"/>
      <w:r>
        <w:rPr>
          <w:rFonts w:ascii="Century Schoolbook" w:eastAsia="Century Schoolbook" w:hAnsi="Century Schoolbook" w:cs="Century Schoolbook"/>
          <w:color w:val="212529"/>
          <w:sz w:val="24"/>
          <w:szCs w:val="24"/>
          <w:highlight w:val="white"/>
        </w:rPr>
        <w:t>various different</w:t>
      </w:r>
      <w:proofErr w:type="gramEnd"/>
      <w:r>
        <w:rPr>
          <w:rFonts w:ascii="Century Schoolbook" w:eastAsia="Century Schoolbook" w:hAnsi="Century Schoolbook" w:cs="Century Schoolbook"/>
          <w:color w:val="212529"/>
          <w:sz w:val="24"/>
          <w:szCs w:val="24"/>
          <w:highlight w:val="white"/>
        </w:rPr>
        <w:t xml:space="preserve"> models </w:t>
      </w:r>
      <w:proofErr w:type="gramStart"/>
      <w:r>
        <w:rPr>
          <w:rFonts w:ascii="Century Schoolbook" w:eastAsia="Century Schoolbook" w:hAnsi="Century Schoolbook" w:cs="Century Schoolbook"/>
          <w:color w:val="212529"/>
          <w:sz w:val="24"/>
          <w:szCs w:val="24"/>
          <w:highlight w:val="white"/>
        </w:rPr>
        <w:t>on the basis of</w:t>
      </w:r>
      <w:proofErr w:type="gramEnd"/>
      <w:r>
        <w:rPr>
          <w:rFonts w:ascii="Century Schoolbook" w:eastAsia="Century Schoolbook" w:hAnsi="Century Schoolbook" w:cs="Century Schoolbook"/>
          <w:color w:val="212529"/>
          <w:sz w:val="24"/>
          <w:szCs w:val="24"/>
          <w:highlight w:val="white"/>
        </w:rPr>
        <w:t xml:space="preserve"> four different metrics: accuracy, precision, recall, and area under the curve (AUC) across 5-fold cross-validation. The best-performing fold for each model has been taken to compare against one another.</w:t>
      </w:r>
    </w:p>
    <w:p w14:paraId="65BCBE48"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Results &amp; Discussion</w:t>
      </w:r>
    </w:p>
    <w:p w14:paraId="14DCB1D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Table 1 presents the performance of the five different models tested on the Credit Card Fraud Detection dataset using the testing set, with confusion matrices provided in Figure 1. The top performing models in this test in terms of pure accuracy are the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EGB, and CGB models, obtaining scores of 0.99980, 0.99979, and 0.99977 respectively.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also performed best in precision by far with a score of 0.93827, followed by the EGB and CGB models with scores of 0.88764 and 0.88636 respectively. Comparing both the recall and AUC metrics, the EGB model performs best, followed by CGB, RF,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and then the DT model.</w:t>
      </w:r>
    </w:p>
    <w:p w14:paraId="71A03FBA"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A recurring theme in comparing these models is that they perform exceptionally well in accuracy, but not nearly as well in other metrics. Since &gt; 99% of instances are labeled as negative, the &gt; 99% accuracy is misleading. If this dataset were more balanced, we would expect lower accuracy, more so reflecting the AUC score. As such, we can think of AUC as an alternative to accuracy.</w:t>
      </w:r>
    </w:p>
    <w:p w14:paraId="2BB9B79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0EC5AAE0"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Table 1. Comparison of five different machine learning models in testing accuracy, precision, recall, and AUC.</w:t>
      </w:r>
    </w:p>
    <w:tbl>
      <w:tblPr>
        <w:tblStyle w:val="a"/>
        <w:tblW w:w="8235" w:type="dxa"/>
        <w:tblInd w:w="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560"/>
        <w:gridCol w:w="1800"/>
        <w:gridCol w:w="1680"/>
        <w:gridCol w:w="1755"/>
      </w:tblGrid>
      <w:tr w:rsidR="002153CB" w14:paraId="2C28A792" w14:textId="77777777">
        <w:trPr>
          <w:trHeight w:val="315"/>
          <w:tblHeader/>
        </w:trPr>
        <w:tc>
          <w:tcPr>
            <w:tcW w:w="1440" w:type="dxa"/>
            <w:tcMar>
              <w:top w:w="40" w:type="dxa"/>
              <w:left w:w="40" w:type="dxa"/>
              <w:bottom w:w="40" w:type="dxa"/>
              <w:right w:w="40" w:type="dxa"/>
            </w:tcMar>
            <w:vAlign w:val="bottom"/>
          </w:tcPr>
          <w:p w14:paraId="503906A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lastRenderedPageBreak/>
              <w:t>Model</w:t>
            </w:r>
          </w:p>
        </w:tc>
        <w:tc>
          <w:tcPr>
            <w:tcW w:w="1560" w:type="dxa"/>
            <w:tcMar>
              <w:top w:w="40" w:type="dxa"/>
              <w:left w:w="40" w:type="dxa"/>
              <w:bottom w:w="40" w:type="dxa"/>
              <w:right w:w="40" w:type="dxa"/>
            </w:tcMar>
            <w:vAlign w:val="bottom"/>
          </w:tcPr>
          <w:p w14:paraId="36C00B4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Accuracy</w:t>
            </w:r>
          </w:p>
        </w:tc>
        <w:tc>
          <w:tcPr>
            <w:tcW w:w="1800" w:type="dxa"/>
            <w:tcMar>
              <w:top w:w="40" w:type="dxa"/>
              <w:left w:w="40" w:type="dxa"/>
              <w:bottom w:w="40" w:type="dxa"/>
              <w:right w:w="40" w:type="dxa"/>
            </w:tcMar>
            <w:vAlign w:val="bottom"/>
          </w:tcPr>
          <w:p w14:paraId="007CA25F"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Precision</w:t>
            </w:r>
          </w:p>
        </w:tc>
        <w:tc>
          <w:tcPr>
            <w:tcW w:w="1680" w:type="dxa"/>
            <w:tcMar>
              <w:top w:w="40" w:type="dxa"/>
              <w:left w:w="40" w:type="dxa"/>
              <w:bottom w:w="40" w:type="dxa"/>
              <w:right w:w="40" w:type="dxa"/>
            </w:tcMar>
            <w:vAlign w:val="bottom"/>
          </w:tcPr>
          <w:p w14:paraId="486DBD4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Recall</w:t>
            </w:r>
          </w:p>
        </w:tc>
        <w:tc>
          <w:tcPr>
            <w:tcW w:w="1755" w:type="dxa"/>
            <w:tcMar>
              <w:top w:w="40" w:type="dxa"/>
              <w:left w:w="40" w:type="dxa"/>
              <w:bottom w:w="40" w:type="dxa"/>
              <w:right w:w="40" w:type="dxa"/>
            </w:tcMar>
            <w:vAlign w:val="bottom"/>
          </w:tcPr>
          <w:p w14:paraId="3502169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AUC</w:t>
            </w:r>
          </w:p>
        </w:tc>
      </w:tr>
      <w:tr w:rsidR="002153CB" w14:paraId="5B2F828A" w14:textId="77777777">
        <w:trPr>
          <w:trHeight w:val="315"/>
          <w:tblHeader/>
        </w:trPr>
        <w:tc>
          <w:tcPr>
            <w:tcW w:w="1440" w:type="dxa"/>
            <w:tcMar>
              <w:top w:w="40" w:type="dxa"/>
              <w:left w:w="40" w:type="dxa"/>
              <w:bottom w:w="40" w:type="dxa"/>
              <w:right w:w="40" w:type="dxa"/>
            </w:tcMar>
            <w:vAlign w:val="bottom"/>
          </w:tcPr>
          <w:p w14:paraId="2EB15F49"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DT</w:t>
            </w:r>
          </w:p>
        </w:tc>
        <w:tc>
          <w:tcPr>
            <w:tcW w:w="1560" w:type="dxa"/>
            <w:tcMar>
              <w:top w:w="40" w:type="dxa"/>
              <w:left w:w="40" w:type="dxa"/>
              <w:bottom w:w="40" w:type="dxa"/>
              <w:right w:w="40" w:type="dxa"/>
            </w:tcMar>
            <w:vAlign w:val="bottom"/>
          </w:tcPr>
          <w:p w14:paraId="65A145C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0.99946</w:t>
            </w:r>
          </w:p>
        </w:tc>
        <w:tc>
          <w:tcPr>
            <w:tcW w:w="1800" w:type="dxa"/>
            <w:tcMar>
              <w:top w:w="40" w:type="dxa"/>
              <w:left w:w="40" w:type="dxa"/>
              <w:bottom w:w="40" w:type="dxa"/>
              <w:right w:w="40" w:type="dxa"/>
            </w:tcMar>
            <w:vAlign w:val="bottom"/>
          </w:tcPr>
          <w:p w14:paraId="76FF41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0.86813</w:t>
            </w:r>
          </w:p>
        </w:tc>
        <w:tc>
          <w:tcPr>
            <w:tcW w:w="1680" w:type="dxa"/>
            <w:tcMar>
              <w:top w:w="40" w:type="dxa"/>
              <w:left w:w="40" w:type="dxa"/>
              <w:bottom w:w="40" w:type="dxa"/>
              <w:right w:w="40" w:type="dxa"/>
            </w:tcMar>
            <w:vAlign w:val="bottom"/>
          </w:tcPr>
          <w:p w14:paraId="39736F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0.80612</w:t>
            </w:r>
          </w:p>
        </w:tc>
        <w:tc>
          <w:tcPr>
            <w:tcW w:w="1755" w:type="dxa"/>
            <w:tcMar>
              <w:top w:w="40" w:type="dxa"/>
              <w:left w:w="40" w:type="dxa"/>
              <w:bottom w:w="40" w:type="dxa"/>
              <w:right w:w="40" w:type="dxa"/>
            </w:tcMar>
            <w:vAlign w:val="bottom"/>
          </w:tcPr>
          <w:p w14:paraId="1C7BF9E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0.90296</w:t>
            </w:r>
          </w:p>
        </w:tc>
      </w:tr>
      <w:tr w:rsidR="002153CB" w14:paraId="63983BF3" w14:textId="77777777">
        <w:trPr>
          <w:trHeight w:val="315"/>
        </w:trPr>
        <w:tc>
          <w:tcPr>
            <w:tcW w:w="1440" w:type="dxa"/>
            <w:tcMar>
              <w:top w:w="40" w:type="dxa"/>
              <w:left w:w="40" w:type="dxa"/>
              <w:bottom w:w="40" w:type="dxa"/>
              <w:right w:w="40" w:type="dxa"/>
            </w:tcMar>
            <w:vAlign w:val="bottom"/>
          </w:tcPr>
          <w:p w14:paraId="48AFBDA0"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RF</w:t>
            </w:r>
          </w:p>
        </w:tc>
        <w:tc>
          <w:tcPr>
            <w:tcW w:w="1560" w:type="dxa"/>
            <w:tcMar>
              <w:top w:w="40" w:type="dxa"/>
              <w:left w:w="40" w:type="dxa"/>
              <w:bottom w:w="40" w:type="dxa"/>
              <w:right w:w="40" w:type="dxa"/>
            </w:tcMar>
            <w:vAlign w:val="bottom"/>
          </w:tcPr>
          <w:p w14:paraId="190A86A2"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0.99951</w:t>
            </w:r>
          </w:p>
        </w:tc>
        <w:tc>
          <w:tcPr>
            <w:tcW w:w="1800" w:type="dxa"/>
            <w:tcMar>
              <w:top w:w="40" w:type="dxa"/>
              <w:left w:w="40" w:type="dxa"/>
              <w:bottom w:w="40" w:type="dxa"/>
              <w:right w:w="40" w:type="dxa"/>
            </w:tcMar>
            <w:vAlign w:val="bottom"/>
          </w:tcPr>
          <w:p w14:paraId="43DBB0B8"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0.77000</w:t>
            </w:r>
          </w:p>
        </w:tc>
        <w:tc>
          <w:tcPr>
            <w:tcW w:w="1680" w:type="dxa"/>
            <w:tcMar>
              <w:top w:w="40" w:type="dxa"/>
              <w:left w:w="40" w:type="dxa"/>
              <w:bottom w:w="40" w:type="dxa"/>
              <w:right w:w="40" w:type="dxa"/>
            </w:tcMar>
            <w:vAlign w:val="bottom"/>
          </w:tcPr>
          <w:p w14:paraId="5E1761B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0.93902</w:t>
            </w:r>
          </w:p>
        </w:tc>
        <w:tc>
          <w:tcPr>
            <w:tcW w:w="1755" w:type="dxa"/>
            <w:tcMar>
              <w:top w:w="40" w:type="dxa"/>
              <w:left w:w="40" w:type="dxa"/>
              <w:bottom w:w="40" w:type="dxa"/>
              <w:right w:w="40" w:type="dxa"/>
            </w:tcMar>
            <w:vAlign w:val="bottom"/>
          </w:tcPr>
          <w:p w14:paraId="420C0E9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0.96931</w:t>
            </w:r>
          </w:p>
        </w:tc>
      </w:tr>
      <w:tr w:rsidR="002153CB" w14:paraId="1B16F1F1" w14:textId="77777777">
        <w:trPr>
          <w:trHeight w:val="315"/>
        </w:trPr>
        <w:tc>
          <w:tcPr>
            <w:tcW w:w="1440" w:type="dxa"/>
            <w:tcMar>
              <w:top w:w="40" w:type="dxa"/>
              <w:left w:w="40" w:type="dxa"/>
              <w:bottom w:w="40" w:type="dxa"/>
              <w:right w:w="40" w:type="dxa"/>
            </w:tcMar>
            <w:vAlign w:val="bottom"/>
          </w:tcPr>
          <w:p w14:paraId="6240C09A"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CGB</w:t>
            </w:r>
          </w:p>
        </w:tc>
        <w:tc>
          <w:tcPr>
            <w:tcW w:w="1560" w:type="dxa"/>
            <w:tcMar>
              <w:top w:w="40" w:type="dxa"/>
              <w:left w:w="40" w:type="dxa"/>
              <w:bottom w:w="40" w:type="dxa"/>
              <w:right w:w="40" w:type="dxa"/>
            </w:tcMar>
            <w:vAlign w:val="bottom"/>
          </w:tcPr>
          <w:p w14:paraId="6929C04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0.99977</w:t>
            </w:r>
          </w:p>
        </w:tc>
        <w:tc>
          <w:tcPr>
            <w:tcW w:w="1800" w:type="dxa"/>
            <w:tcMar>
              <w:top w:w="40" w:type="dxa"/>
              <w:left w:w="40" w:type="dxa"/>
              <w:bottom w:w="40" w:type="dxa"/>
              <w:right w:w="40" w:type="dxa"/>
            </w:tcMar>
            <w:vAlign w:val="bottom"/>
          </w:tcPr>
          <w:p w14:paraId="01C2C9C1"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0.88636</w:t>
            </w:r>
          </w:p>
        </w:tc>
        <w:tc>
          <w:tcPr>
            <w:tcW w:w="1680" w:type="dxa"/>
            <w:tcMar>
              <w:top w:w="40" w:type="dxa"/>
              <w:left w:w="40" w:type="dxa"/>
              <w:bottom w:w="40" w:type="dxa"/>
              <w:right w:w="40" w:type="dxa"/>
            </w:tcMar>
            <w:vAlign w:val="bottom"/>
          </w:tcPr>
          <w:p w14:paraId="28C28FB0"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0.96296</w:t>
            </w:r>
          </w:p>
        </w:tc>
        <w:tc>
          <w:tcPr>
            <w:tcW w:w="1755" w:type="dxa"/>
            <w:tcMar>
              <w:top w:w="40" w:type="dxa"/>
              <w:left w:w="40" w:type="dxa"/>
              <w:bottom w:w="40" w:type="dxa"/>
              <w:right w:w="40" w:type="dxa"/>
            </w:tcMar>
            <w:vAlign w:val="bottom"/>
          </w:tcPr>
          <w:p w14:paraId="4B0F0A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0.98139</w:t>
            </w:r>
          </w:p>
        </w:tc>
      </w:tr>
      <w:tr w:rsidR="002153CB" w14:paraId="5976AD36" w14:textId="77777777">
        <w:trPr>
          <w:trHeight w:val="315"/>
        </w:trPr>
        <w:tc>
          <w:tcPr>
            <w:tcW w:w="1440" w:type="dxa"/>
            <w:tcMar>
              <w:top w:w="40" w:type="dxa"/>
              <w:left w:w="40" w:type="dxa"/>
              <w:bottom w:w="40" w:type="dxa"/>
              <w:right w:w="40" w:type="dxa"/>
            </w:tcMar>
            <w:vAlign w:val="bottom"/>
          </w:tcPr>
          <w:p w14:paraId="5A4C7A46"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EGB</w:t>
            </w:r>
          </w:p>
        </w:tc>
        <w:tc>
          <w:tcPr>
            <w:tcW w:w="1560" w:type="dxa"/>
            <w:tcMar>
              <w:top w:w="40" w:type="dxa"/>
              <w:left w:w="40" w:type="dxa"/>
              <w:bottom w:w="40" w:type="dxa"/>
              <w:right w:w="40" w:type="dxa"/>
            </w:tcMar>
            <w:vAlign w:val="bottom"/>
          </w:tcPr>
          <w:p w14:paraId="42FBB37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0.99979</w:t>
            </w:r>
          </w:p>
        </w:tc>
        <w:tc>
          <w:tcPr>
            <w:tcW w:w="1800" w:type="dxa"/>
            <w:tcMar>
              <w:top w:w="40" w:type="dxa"/>
              <w:left w:w="40" w:type="dxa"/>
              <w:bottom w:w="40" w:type="dxa"/>
              <w:right w:w="40" w:type="dxa"/>
            </w:tcMar>
            <w:vAlign w:val="bottom"/>
          </w:tcPr>
          <w:p w14:paraId="4D207C2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0.88764</w:t>
            </w:r>
          </w:p>
        </w:tc>
        <w:tc>
          <w:tcPr>
            <w:tcW w:w="1680" w:type="dxa"/>
            <w:tcMar>
              <w:top w:w="40" w:type="dxa"/>
              <w:left w:w="40" w:type="dxa"/>
              <w:bottom w:w="40" w:type="dxa"/>
              <w:right w:w="40" w:type="dxa"/>
            </w:tcMar>
            <w:vAlign w:val="bottom"/>
          </w:tcPr>
          <w:p w14:paraId="7247A62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0.97531</w:t>
            </w:r>
          </w:p>
        </w:tc>
        <w:tc>
          <w:tcPr>
            <w:tcW w:w="1755" w:type="dxa"/>
            <w:tcMar>
              <w:top w:w="40" w:type="dxa"/>
              <w:left w:w="40" w:type="dxa"/>
              <w:bottom w:w="40" w:type="dxa"/>
              <w:right w:w="40" w:type="dxa"/>
            </w:tcMar>
            <w:vAlign w:val="bottom"/>
          </w:tcPr>
          <w:p w14:paraId="41BF0D8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0.98757</w:t>
            </w:r>
          </w:p>
        </w:tc>
      </w:tr>
      <w:tr w:rsidR="002153CB" w14:paraId="5EC77FF9" w14:textId="77777777">
        <w:trPr>
          <w:trHeight w:val="315"/>
        </w:trPr>
        <w:tc>
          <w:tcPr>
            <w:tcW w:w="1440" w:type="dxa"/>
            <w:tcMar>
              <w:top w:w="40" w:type="dxa"/>
              <w:left w:w="40" w:type="dxa"/>
              <w:bottom w:w="40" w:type="dxa"/>
              <w:right w:w="40" w:type="dxa"/>
            </w:tcMar>
            <w:vAlign w:val="bottom"/>
          </w:tcPr>
          <w:p w14:paraId="38DFE129" w14:textId="77777777" w:rsidR="002153CB" w:rsidRDefault="00000000">
            <w:pPr>
              <w:widowControl w:val="0"/>
              <w:rPr>
                <w:rFonts w:ascii="Century Schoolbook" w:eastAsia="Century Schoolbook" w:hAnsi="Century Schoolbook" w:cs="Century Schoolbook"/>
                <w:sz w:val="20"/>
                <w:szCs w:val="20"/>
              </w:rPr>
            </w:pPr>
            <w:proofErr w:type="spellStart"/>
            <w:r>
              <w:rPr>
                <w:rFonts w:ascii="Century Schoolbook" w:eastAsia="Century Schoolbook" w:hAnsi="Century Schoolbook" w:cs="Century Schoolbook"/>
                <w:sz w:val="20"/>
                <w:szCs w:val="20"/>
              </w:rPr>
              <w:t>MAXGBoost</w:t>
            </w:r>
            <w:proofErr w:type="spellEnd"/>
          </w:p>
        </w:tc>
        <w:tc>
          <w:tcPr>
            <w:tcW w:w="1560" w:type="dxa"/>
            <w:tcMar>
              <w:top w:w="40" w:type="dxa"/>
              <w:left w:w="40" w:type="dxa"/>
              <w:bottom w:w="40" w:type="dxa"/>
              <w:right w:w="40" w:type="dxa"/>
            </w:tcMar>
            <w:vAlign w:val="bottom"/>
          </w:tcPr>
          <w:p w14:paraId="7FCDB4F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0.99980</w:t>
            </w:r>
          </w:p>
        </w:tc>
        <w:tc>
          <w:tcPr>
            <w:tcW w:w="1800" w:type="dxa"/>
            <w:tcMar>
              <w:top w:w="40" w:type="dxa"/>
              <w:left w:w="40" w:type="dxa"/>
              <w:bottom w:w="40" w:type="dxa"/>
              <w:right w:w="40" w:type="dxa"/>
            </w:tcMar>
            <w:vAlign w:val="bottom"/>
          </w:tcPr>
          <w:p w14:paraId="11A538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0.93827</w:t>
            </w:r>
          </w:p>
        </w:tc>
        <w:tc>
          <w:tcPr>
            <w:tcW w:w="1680" w:type="dxa"/>
            <w:tcMar>
              <w:top w:w="40" w:type="dxa"/>
              <w:left w:w="40" w:type="dxa"/>
              <w:bottom w:w="40" w:type="dxa"/>
              <w:right w:w="40" w:type="dxa"/>
            </w:tcMar>
            <w:vAlign w:val="bottom"/>
          </w:tcPr>
          <w:p w14:paraId="0A79855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0.92683</w:t>
            </w:r>
          </w:p>
        </w:tc>
        <w:tc>
          <w:tcPr>
            <w:tcW w:w="1755" w:type="dxa"/>
            <w:tcMar>
              <w:top w:w="40" w:type="dxa"/>
              <w:left w:w="40" w:type="dxa"/>
              <w:bottom w:w="40" w:type="dxa"/>
              <w:right w:w="40" w:type="dxa"/>
            </w:tcMar>
            <w:vAlign w:val="bottom"/>
          </w:tcPr>
          <w:p w14:paraId="72FC940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0.96337</w:t>
            </w:r>
          </w:p>
        </w:tc>
      </w:tr>
    </w:tbl>
    <w:p w14:paraId="26854C8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D66F93"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Figure 1. Confusion matrices for respective ML models tested.</w:t>
      </w:r>
    </w:p>
    <w:p w14:paraId="578336A3"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noProof/>
          <w:color w:val="212529"/>
          <w:sz w:val="24"/>
          <w:szCs w:val="24"/>
          <w:highlight w:val="white"/>
        </w:rPr>
        <w:drawing>
          <wp:inline distT="114300" distB="114300" distL="114300" distR="114300" wp14:anchorId="0FFC4350" wp14:editId="5BAF0909">
            <wp:extent cx="5943600" cy="323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238500"/>
                    </a:xfrm>
                    <a:prstGeom prst="rect">
                      <a:avLst/>
                    </a:prstGeom>
                    <a:ln/>
                  </pic:spPr>
                </pic:pic>
              </a:graphicData>
            </a:graphic>
          </wp:inline>
        </w:drawing>
      </w:r>
    </w:p>
    <w:p w14:paraId="5FD3FC0E"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79940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To mitigate the overfitting tendency of our models, we employed 5-fold cross-validation and a validation set in our dataset split to ensure our models are generalizable.</w:t>
      </w:r>
    </w:p>
    <w:p w14:paraId="6D31B74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superior precision indicates it is particularly effective in an environment where false positives can lead to high costs. In this context, where each fraud alert creates both customer friction and operational overhead,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ability to minimize false positives can help avoid unnecessary costs. However,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slightly lower AUC than RF, CGB, and EGB is an indicator that it wasn’t as effective at identifying the positive class. This could be attributed </w:t>
      </w:r>
      <w:r>
        <w:rPr>
          <w:rFonts w:ascii="Century Schoolbook" w:eastAsia="Century Schoolbook" w:hAnsi="Century Schoolbook" w:cs="Century Schoolbook"/>
          <w:color w:val="212529"/>
          <w:sz w:val="24"/>
          <w:szCs w:val="24"/>
          <w:highlight w:val="white"/>
        </w:rPr>
        <w:lastRenderedPageBreak/>
        <w:t xml:space="preserve">to </w:t>
      </w:r>
      <w:proofErr w:type="spellStart"/>
      <w:r>
        <w:rPr>
          <w:rFonts w:ascii="Century Schoolbook" w:eastAsia="Century Schoolbook" w:hAnsi="Century Schoolbook" w:cs="Century Schoolbook"/>
          <w:color w:val="212529"/>
          <w:sz w:val="24"/>
          <w:szCs w:val="24"/>
          <w:highlight w:val="white"/>
        </w:rPr>
        <w:t>MAXBoost’s</w:t>
      </w:r>
      <w:proofErr w:type="spellEnd"/>
      <w:r>
        <w:rPr>
          <w:rFonts w:ascii="Century Schoolbook" w:eastAsia="Century Schoolbook" w:hAnsi="Century Schoolbook" w:cs="Century Schoolbook"/>
          <w:color w:val="212529"/>
          <w:sz w:val="24"/>
          <w:szCs w:val="24"/>
          <w:highlight w:val="white"/>
        </w:rPr>
        <w:t xml:space="preserve"> momentum mechanism causing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to decrease too rapidly when it encounters a sequence of small loss improvements. This premature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reduction can prevent the model from exploring regions of the feature space where fraud patterns are more subtle in the dataset. Moreover, the rapid learning rate adaptations can cause MAXGBoost to focus intensely on clearly discriminative features. While this improves precision in the scenario of credit card fraud detection, it may cause the model to underweight features that are weakly correlated with f</w:t>
      </w:r>
      <w:proofErr w:type="spellStart"/>
      <w:r>
        <w:rPr>
          <w:rFonts w:ascii="Century Schoolbook" w:eastAsia="Century Schoolbook" w:hAnsi="Century Schoolbook" w:cs="Century Schoolbook"/>
          <w:color w:val="212529"/>
          <w:sz w:val="24"/>
          <w:szCs w:val="24"/>
          <w:highlight w:val="white"/>
        </w:rPr>
        <w:t>raud</w:t>
      </w:r>
      <w:proofErr w:type="spellEnd"/>
      <w:r>
        <w:rPr>
          <w:rFonts w:ascii="Century Schoolbook" w:eastAsia="Century Schoolbook" w:hAnsi="Century Schoolbook" w:cs="Century Schoolbook"/>
          <w:color w:val="212529"/>
          <w:sz w:val="24"/>
          <w:szCs w:val="24"/>
          <w:highlight w:val="white"/>
        </w:rPr>
        <w:t>, the minority class. In contrast, RF’s random feature sampling, CGB’s continual moderate learning rate, and EGB’s slower learning rate decay allow them to maintain a more comprehensive coverage of the entire feature space.</w:t>
      </w:r>
    </w:p>
    <w:p w14:paraId="2751D320"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Conclusions &amp; Future Work</w:t>
      </w:r>
    </w:p>
    <w:p w14:paraId="091D37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This study demonstrates the effectiveness of decision tree-based models in credit card fraud detection, effectively identifying fraudulent transactions that compromise &lt; 0.2% of the dataset. The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models with adaptive learning rates especially stood out in this regard, producing accuracy metrics of &gt; 0.999, precision metrics of &gt; 0.88, and recall metrics of &gt; 0.92. Furthermore, the AUC metrics of &gt; 0.96 respectively demonstrate the robustness of these models. EGB excelled in terms of recall and AUC, demonstrating that it is effective in picking out the fraudulent transactions.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produced the best accuracy and precision scores of 0.99938 and 0.93827 respectively, suggesting that it is the most effective model for customer satisfaction and avoiding falsely detecting fraudulent transactions made by the real customer.</w:t>
      </w:r>
    </w:p>
    <w:p w14:paraId="40E6671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Looking ahead, there are several promising directions for future research. Given the strong performance of both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 different areas, a natural next step would be developing a hybrid momentum-decay approach. This could be further built upon through feature-specific momentum calculations or class-aware momentum adjustments. Additionally, developing techniques to handle concept drift would be beneficial, as fraudsters evolve their strategies overtime.</w:t>
      </w:r>
    </w:p>
    <w:p w14:paraId="620E9FE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Reproducibility</w:t>
      </w:r>
    </w:p>
    <w:p w14:paraId="6619F926"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All code used for the development and tuning of our machine learning models can be found in the following repository: </w:t>
      </w:r>
      <w:hyperlink r:id="rId8">
        <w:r>
          <w:rPr>
            <w:rFonts w:ascii="Century Schoolbook" w:eastAsia="Century Schoolbook" w:hAnsi="Century Schoolbook" w:cs="Century Schoolbook"/>
            <w:color w:val="1155CC"/>
            <w:sz w:val="24"/>
            <w:szCs w:val="24"/>
            <w:highlight w:val="white"/>
            <w:u w:val="single"/>
          </w:rPr>
          <w:t>https://github.com/anirudhc5/MAXGBoost-Repo</w:t>
        </w:r>
      </w:hyperlink>
      <w:r>
        <w:rPr>
          <w:rFonts w:ascii="Century Schoolbook" w:eastAsia="Century Schoolbook" w:hAnsi="Century Schoolbook" w:cs="Century Schoolbook"/>
          <w:color w:val="212529"/>
          <w:sz w:val="24"/>
          <w:szCs w:val="24"/>
          <w:highlight w:val="white"/>
        </w:rPr>
        <w:t>. Code was written in Python 3.12.2.</w:t>
      </w:r>
    </w:p>
    <w:p w14:paraId="0D780D89" w14:textId="77777777" w:rsidR="002153CB" w:rsidRDefault="00000000">
      <w:pPr>
        <w:numPr>
          <w:ilvl w:val="0"/>
          <w:numId w:val="2"/>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References</w:t>
      </w:r>
    </w:p>
    <w:p w14:paraId="51ABF55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Andrej </w:t>
      </w:r>
      <w:proofErr w:type="spellStart"/>
      <w:r>
        <w:rPr>
          <w:rFonts w:ascii="Century Schoolbook" w:eastAsia="Century Schoolbook" w:hAnsi="Century Schoolbook" w:cs="Century Schoolbook"/>
          <w:color w:val="212529"/>
          <w:sz w:val="24"/>
          <w:szCs w:val="24"/>
          <w:highlight w:val="white"/>
        </w:rPr>
        <w:t>Baranovskij</w:t>
      </w:r>
      <w:proofErr w:type="spellEnd"/>
      <w:r>
        <w:rPr>
          <w:rFonts w:ascii="Century Schoolbook" w:eastAsia="Century Schoolbook" w:hAnsi="Century Schoolbook" w:cs="Century Schoolbook"/>
          <w:color w:val="212529"/>
          <w:sz w:val="24"/>
          <w:szCs w:val="24"/>
          <w:highlight w:val="white"/>
        </w:rPr>
        <w:t xml:space="preserve">. (2019, March 12). </w:t>
      </w:r>
      <w:r>
        <w:rPr>
          <w:rFonts w:ascii="Century Schoolbook" w:eastAsia="Century Schoolbook" w:hAnsi="Century Schoolbook" w:cs="Century Schoolbook"/>
          <w:i/>
          <w:color w:val="212529"/>
          <w:sz w:val="24"/>
          <w:szCs w:val="24"/>
          <w:highlight w:val="white"/>
        </w:rPr>
        <w:t xml:space="preserve">Selecting Optimal Parameters for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Model Training</w:t>
      </w:r>
      <w:r>
        <w:rPr>
          <w:rFonts w:ascii="Century Schoolbook" w:eastAsia="Century Schoolbook" w:hAnsi="Century Schoolbook" w:cs="Century Schoolbook"/>
          <w:color w:val="212529"/>
          <w:sz w:val="24"/>
          <w:szCs w:val="24"/>
          <w:highlight w:val="white"/>
        </w:rPr>
        <w:t>. Medium; Towards Data Science. https://medium.com/towards-data-science/selecting-optimal-parameters-for-xgboost-model-training-c7cd9ed5e45e</w:t>
      </w:r>
    </w:p>
    <w:p w14:paraId="4CF1049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xml:space="preserve">, P. (2023, October 6). </w:t>
      </w:r>
      <w:r>
        <w:rPr>
          <w:rFonts w:ascii="Century Schoolbook" w:eastAsia="Century Schoolbook" w:hAnsi="Century Schoolbook" w:cs="Century Schoolbook"/>
          <w:i/>
          <w:color w:val="212529"/>
          <w:sz w:val="24"/>
          <w:szCs w:val="24"/>
          <w:highlight w:val="white"/>
        </w:rPr>
        <w:t>Overview of AdaBoost: Reconciling its views to better understand its dynamics</w:t>
      </w:r>
      <w:r>
        <w:rPr>
          <w:rFonts w:ascii="Century Schoolbook" w:eastAsia="Century Schoolbook" w:hAnsi="Century Schoolbook" w:cs="Century Schoolbook"/>
          <w:color w:val="212529"/>
          <w:sz w:val="24"/>
          <w:szCs w:val="24"/>
          <w:highlight w:val="white"/>
        </w:rPr>
        <w:t>. ArXiv.org. https://doi.org/10.48550/arXiv.2310.18323</w:t>
      </w:r>
    </w:p>
    <w:p w14:paraId="554B09B3"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Brownlee, J. (2016, September 15). </w:t>
      </w:r>
      <w:r>
        <w:rPr>
          <w:rFonts w:ascii="Century Schoolbook" w:eastAsia="Century Schoolbook" w:hAnsi="Century Schoolbook" w:cs="Century Schoolbook"/>
          <w:i/>
          <w:color w:val="212529"/>
          <w:sz w:val="24"/>
          <w:szCs w:val="24"/>
          <w:highlight w:val="white"/>
        </w:rPr>
        <w:t xml:space="preserve">Tune Learning Rate for Gradient Boosting with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in Python</w:t>
      </w:r>
      <w:r>
        <w:rPr>
          <w:rFonts w:ascii="Century Schoolbook" w:eastAsia="Century Schoolbook" w:hAnsi="Century Schoolbook" w:cs="Century Schoolbook"/>
          <w:color w:val="212529"/>
          <w:sz w:val="24"/>
          <w:szCs w:val="24"/>
          <w:highlight w:val="white"/>
        </w:rPr>
        <w:t>. Machine Learning Mastery. https://machinelearningmastery.com/tune-learning-rate-for-gradient-boosting-with-xgboost-in-python/</w:t>
      </w:r>
    </w:p>
    <w:p w14:paraId="3ABFEBDF"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Chen, T.,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C. (2016).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a Scalable Tree Boosting System. </w:t>
      </w:r>
      <w:r>
        <w:rPr>
          <w:rFonts w:ascii="Century Schoolbook" w:eastAsia="Century Schoolbook" w:hAnsi="Century Schoolbook" w:cs="Century Schoolbook"/>
          <w:i/>
          <w:color w:val="212529"/>
          <w:sz w:val="24"/>
          <w:szCs w:val="24"/>
          <w:highlight w:val="white"/>
        </w:rPr>
        <w:t>Proceedings of the 22nd ACM SIGKDD International Conference on Knowledge Discovery and Data Mining - KDD ’16</w:t>
      </w:r>
      <w:r>
        <w:rPr>
          <w:rFonts w:ascii="Century Schoolbook" w:eastAsia="Century Schoolbook" w:hAnsi="Century Schoolbook" w:cs="Century Schoolbook"/>
          <w:color w:val="212529"/>
          <w:sz w:val="24"/>
          <w:szCs w:val="24"/>
          <w:highlight w:val="white"/>
        </w:rPr>
        <w:t>, 785–794. https://doi.org/10.1145/2939672.2939785</w:t>
      </w:r>
    </w:p>
    <w:p w14:paraId="6FC8ADAA"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Credit Card Fraud Detection</w:t>
      </w:r>
      <w:r>
        <w:rPr>
          <w:rFonts w:ascii="Century Schoolbook" w:eastAsia="Century Schoolbook" w:hAnsi="Century Schoolbook" w:cs="Century Schoolbook"/>
          <w:color w:val="212529"/>
          <w:sz w:val="24"/>
          <w:szCs w:val="24"/>
          <w:highlight w:val="white"/>
        </w:rPr>
        <w:t>. (n.d.). Kaggle. https://www.kaggle.com/datasets/mlg-ulb/creditcardfraud/data</w:t>
      </w:r>
    </w:p>
    <w:p w14:paraId="00BB42E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Ke, G., Meng, Q., Finley, T., Wang, T., Chen, W., Ma, W., Ye, Q., &amp; Liu, T.-Y. (2017). </w:t>
      </w:r>
      <w:proofErr w:type="spellStart"/>
      <w:r>
        <w:rPr>
          <w:rFonts w:ascii="Century Schoolbook" w:eastAsia="Century Schoolbook" w:hAnsi="Century Schoolbook" w:cs="Century Schoolbook"/>
          <w:i/>
          <w:color w:val="212529"/>
          <w:sz w:val="24"/>
          <w:szCs w:val="24"/>
          <w:highlight w:val="white"/>
        </w:rPr>
        <w:t>LightGBM</w:t>
      </w:r>
      <w:proofErr w:type="spellEnd"/>
      <w:r>
        <w:rPr>
          <w:rFonts w:ascii="Century Schoolbook" w:eastAsia="Century Schoolbook" w:hAnsi="Century Schoolbook" w:cs="Century Schoolbook"/>
          <w:i/>
          <w:color w:val="212529"/>
          <w:sz w:val="24"/>
          <w:szCs w:val="24"/>
          <w:highlight w:val="white"/>
        </w:rPr>
        <w:t>: A Highly Efficient Gradient Boosting Decision Tree</w:t>
      </w:r>
      <w:r>
        <w:rPr>
          <w:rFonts w:ascii="Century Schoolbook" w:eastAsia="Century Schoolbook" w:hAnsi="Century Schoolbook" w:cs="Century Schoolbook"/>
          <w:color w:val="212529"/>
          <w:sz w:val="24"/>
          <w:szCs w:val="24"/>
          <w:highlight w:val="white"/>
        </w:rPr>
        <w:t>. Neural Information Processing Systems; Curran Associates, Inc. https://papers.nips.cc/paper_files/paper/2017/hash/6449f44a102fde848669bdd9eb6b76fa-Abstract.html</w:t>
      </w:r>
    </w:p>
    <w:p w14:paraId="2B0354C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Learning rate</w:t>
      </w:r>
      <w:r>
        <w:rPr>
          <w:rFonts w:ascii="Century Schoolbook" w:eastAsia="Century Schoolbook" w:hAnsi="Century Schoolbook" w:cs="Century Schoolbook"/>
          <w:color w:val="212529"/>
          <w:sz w:val="24"/>
          <w:szCs w:val="24"/>
          <w:highlight w:val="white"/>
        </w:rPr>
        <w:t>. (n.d.). Wikipedia. https://en.wikipedia.org/wiki/Learning_rate</w:t>
      </w:r>
    </w:p>
    <w:p w14:paraId="39D8A9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Mohan, A. (2021, April 6). </w:t>
      </w:r>
      <w:r>
        <w:rPr>
          <w:rFonts w:ascii="Century Schoolbook" w:eastAsia="Century Schoolbook" w:hAnsi="Century Schoolbook" w:cs="Century Schoolbook"/>
          <w:i/>
          <w:color w:val="212529"/>
          <w:sz w:val="24"/>
          <w:szCs w:val="24"/>
          <w:highlight w:val="white"/>
        </w:rPr>
        <w:t>IEEE-CIS Fraud Detection - Top 5% Solution - Towards Data Science</w:t>
      </w:r>
      <w:r>
        <w:rPr>
          <w:rFonts w:ascii="Century Schoolbook" w:eastAsia="Century Schoolbook" w:hAnsi="Century Schoolbook" w:cs="Century Schoolbook"/>
          <w:color w:val="212529"/>
          <w:sz w:val="24"/>
          <w:szCs w:val="24"/>
          <w:highlight w:val="white"/>
        </w:rPr>
        <w:t>. Medium; Towards Data Science. https://medium.com/towards-data-science/ieee-cis-fraud-detection-top-5-solution-5488fc66e95f</w:t>
      </w:r>
    </w:p>
    <w:p w14:paraId="47E37468"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Pedregosa, F., </w:t>
      </w:r>
      <w:proofErr w:type="spellStart"/>
      <w:r>
        <w:rPr>
          <w:rFonts w:ascii="Century Schoolbook" w:eastAsia="Century Schoolbook" w:hAnsi="Century Schoolbook" w:cs="Century Schoolbook"/>
          <w:color w:val="212529"/>
          <w:sz w:val="24"/>
          <w:szCs w:val="24"/>
          <w:highlight w:val="white"/>
        </w:rPr>
        <w:t>Varoquaux</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Gramfort</w:t>
      </w:r>
      <w:proofErr w:type="spellEnd"/>
      <w:r>
        <w:rPr>
          <w:rFonts w:ascii="Century Schoolbook" w:eastAsia="Century Schoolbook" w:hAnsi="Century Schoolbook" w:cs="Century Schoolbook"/>
          <w:color w:val="212529"/>
          <w:sz w:val="24"/>
          <w:szCs w:val="24"/>
          <w:highlight w:val="white"/>
        </w:rPr>
        <w:t xml:space="preserve">, A., Michel, V., Thirion, B., Grisel, O., Blondel, M., Müller, A., </w:t>
      </w:r>
      <w:proofErr w:type="spellStart"/>
      <w:r>
        <w:rPr>
          <w:rFonts w:ascii="Century Schoolbook" w:eastAsia="Century Schoolbook" w:hAnsi="Century Schoolbook" w:cs="Century Schoolbook"/>
          <w:color w:val="212529"/>
          <w:sz w:val="24"/>
          <w:szCs w:val="24"/>
          <w:highlight w:val="white"/>
        </w:rPr>
        <w:t>Nothman</w:t>
      </w:r>
      <w:proofErr w:type="spellEnd"/>
      <w:r>
        <w:rPr>
          <w:rFonts w:ascii="Century Schoolbook" w:eastAsia="Century Schoolbook" w:hAnsi="Century Schoolbook" w:cs="Century Schoolbook"/>
          <w:color w:val="212529"/>
          <w:sz w:val="24"/>
          <w:szCs w:val="24"/>
          <w:highlight w:val="white"/>
        </w:rPr>
        <w:t xml:space="preserve">, J., </w:t>
      </w:r>
      <w:proofErr w:type="spellStart"/>
      <w:r>
        <w:rPr>
          <w:rFonts w:ascii="Century Schoolbook" w:eastAsia="Century Schoolbook" w:hAnsi="Century Schoolbook" w:cs="Century Schoolbook"/>
          <w:color w:val="212529"/>
          <w:sz w:val="24"/>
          <w:szCs w:val="24"/>
          <w:highlight w:val="white"/>
        </w:rPr>
        <w:t>Louppe</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Prettenhofer</w:t>
      </w:r>
      <w:proofErr w:type="spellEnd"/>
      <w:r>
        <w:rPr>
          <w:rFonts w:ascii="Century Schoolbook" w:eastAsia="Century Schoolbook" w:hAnsi="Century Schoolbook" w:cs="Century Schoolbook"/>
          <w:color w:val="212529"/>
          <w:sz w:val="24"/>
          <w:szCs w:val="24"/>
          <w:highlight w:val="white"/>
        </w:rPr>
        <w:t xml:space="preserve">, P., Weiss, R., Dubourg, V., Vanderplas, J., Passos, A., </w:t>
      </w:r>
      <w:proofErr w:type="spellStart"/>
      <w:r>
        <w:rPr>
          <w:rFonts w:ascii="Century Schoolbook" w:eastAsia="Century Schoolbook" w:hAnsi="Century Schoolbook" w:cs="Century Schoolbook"/>
          <w:color w:val="212529"/>
          <w:sz w:val="24"/>
          <w:szCs w:val="24"/>
          <w:highlight w:val="white"/>
        </w:rPr>
        <w:t>Cournapeau</w:t>
      </w:r>
      <w:proofErr w:type="spellEnd"/>
      <w:r>
        <w:rPr>
          <w:rFonts w:ascii="Century Schoolbook" w:eastAsia="Century Schoolbook" w:hAnsi="Century Schoolbook" w:cs="Century Schoolbook"/>
          <w:color w:val="212529"/>
          <w:sz w:val="24"/>
          <w:szCs w:val="24"/>
          <w:highlight w:val="white"/>
        </w:rPr>
        <w:t xml:space="preserve">, D., Brucher, M., Perrot, M., &amp; Duchesnay, É. (2018). Scikit-learn: Machine Learning in Python. </w:t>
      </w:r>
      <w:r>
        <w:rPr>
          <w:rFonts w:ascii="Century Schoolbook" w:eastAsia="Century Schoolbook" w:hAnsi="Century Schoolbook" w:cs="Century Schoolbook"/>
          <w:i/>
          <w:color w:val="212529"/>
          <w:sz w:val="24"/>
          <w:szCs w:val="24"/>
          <w:highlight w:val="white"/>
        </w:rPr>
        <w:t>ArXiv:1201.0490 [Cs]</w:t>
      </w:r>
      <w:r>
        <w:rPr>
          <w:rFonts w:ascii="Century Schoolbook" w:eastAsia="Century Schoolbook" w:hAnsi="Century Schoolbook" w:cs="Century Schoolbook"/>
          <w:color w:val="212529"/>
          <w:sz w:val="24"/>
          <w:szCs w:val="24"/>
          <w:highlight w:val="white"/>
        </w:rPr>
        <w:t>. https://arxiv.org/abs/1201.0490</w:t>
      </w:r>
    </w:p>
    <w:p w14:paraId="7BF586F4"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Vitaly </w:t>
      </w:r>
      <w:proofErr w:type="spellStart"/>
      <w:r>
        <w:rPr>
          <w:rFonts w:ascii="Century Schoolbook" w:eastAsia="Century Schoolbook" w:hAnsi="Century Schoolbook" w:cs="Century Schoolbook"/>
          <w:color w:val="212529"/>
          <w:sz w:val="24"/>
          <w:szCs w:val="24"/>
          <w:highlight w:val="white"/>
        </w:rPr>
        <w:t>Bushaev</w:t>
      </w:r>
      <w:proofErr w:type="spellEnd"/>
      <w:r>
        <w:rPr>
          <w:rFonts w:ascii="Century Schoolbook" w:eastAsia="Century Schoolbook" w:hAnsi="Century Schoolbook" w:cs="Century Schoolbook"/>
          <w:color w:val="212529"/>
          <w:sz w:val="24"/>
          <w:szCs w:val="24"/>
          <w:highlight w:val="white"/>
        </w:rPr>
        <w:t xml:space="preserve">. (2017, December 4). </w:t>
      </w:r>
      <w:r>
        <w:rPr>
          <w:rFonts w:ascii="Century Schoolbook" w:eastAsia="Century Schoolbook" w:hAnsi="Century Schoolbook" w:cs="Century Schoolbook"/>
          <w:i/>
          <w:color w:val="212529"/>
          <w:sz w:val="24"/>
          <w:szCs w:val="24"/>
          <w:highlight w:val="white"/>
        </w:rPr>
        <w:t>Stochastic Gradient Descent with momentum - Towards Data Science</w:t>
      </w:r>
      <w:r>
        <w:rPr>
          <w:rFonts w:ascii="Century Schoolbook" w:eastAsia="Century Schoolbook" w:hAnsi="Century Schoolbook" w:cs="Century Schoolbook"/>
          <w:color w:val="212529"/>
          <w:sz w:val="24"/>
          <w:szCs w:val="24"/>
          <w:highlight w:val="white"/>
        </w:rPr>
        <w:t>. Medium; Towards Data Science. https://medium.com/towards-data-science/stochastic-gradient-descent-with-momentum-a84097641a5d</w:t>
      </w:r>
    </w:p>
    <w:p w14:paraId="154742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Wang, C., Wang, Z., Ouyang, Y., &amp; Soleimani, B. H. (2024, May 27). </w:t>
      </w:r>
      <w:r>
        <w:rPr>
          <w:rFonts w:ascii="Century Schoolbook" w:eastAsia="Century Schoolbook" w:hAnsi="Century Schoolbook" w:cs="Century Schoolbook"/>
          <w:i/>
          <w:color w:val="212529"/>
          <w:sz w:val="24"/>
          <w:szCs w:val="24"/>
          <w:highlight w:val="white"/>
        </w:rPr>
        <w:t>Adaptive Learning Rates for Gradient Boosting Machines</w:t>
      </w:r>
      <w:r>
        <w:rPr>
          <w:rFonts w:ascii="Century Schoolbook" w:eastAsia="Century Schoolbook" w:hAnsi="Century Schoolbook" w:cs="Century Schoolbook"/>
          <w:color w:val="212529"/>
          <w:sz w:val="24"/>
          <w:szCs w:val="24"/>
          <w:highlight w:val="white"/>
        </w:rPr>
        <w:t xml:space="preserve">. Proceedings of the Canadian </w:t>
      </w:r>
      <w:r>
        <w:rPr>
          <w:rFonts w:ascii="Century Schoolbook" w:eastAsia="Century Schoolbook" w:hAnsi="Century Schoolbook" w:cs="Century Schoolbook"/>
          <w:color w:val="212529"/>
          <w:sz w:val="24"/>
          <w:szCs w:val="24"/>
          <w:highlight w:val="white"/>
        </w:rPr>
        <w:lastRenderedPageBreak/>
        <w:t>Conference on Artificial Intelligence. https://caiac.pubpub.org/pub/py65wd3c/release/1</w:t>
      </w:r>
    </w:p>
    <w:p w14:paraId="69C6F044"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sectPr w:rsidR="002153CB">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27D2E" w14:textId="77777777" w:rsidR="00B3517B" w:rsidRDefault="00B3517B">
      <w:pPr>
        <w:spacing w:line="240" w:lineRule="auto"/>
      </w:pPr>
      <w:r>
        <w:separator/>
      </w:r>
    </w:p>
  </w:endnote>
  <w:endnote w:type="continuationSeparator" w:id="0">
    <w:p w14:paraId="16684EB2" w14:textId="77777777" w:rsidR="00B3517B" w:rsidRDefault="00B351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08E06F4-3563-204F-960F-6F8102E35F2F}"/>
  </w:font>
  <w:font w:name="Arial">
    <w:panose1 w:val="020B0604020202020204"/>
    <w:charset w:val="00"/>
    <w:family w:val="swiss"/>
    <w:pitch w:val="variable"/>
    <w:sig w:usb0="E0002AFF" w:usb1="C0007843" w:usb2="00000009" w:usb3="00000000" w:csb0="000001FF" w:csb1="00000000"/>
    <w:embedRegular r:id="rId2" w:fontKey="{06E4E473-7706-DB44-A0D0-95FE06D5A275}"/>
    <w:embedItalic r:id="rId3" w:fontKey="{F1D6EFB2-3D6F-2A4C-A202-90B1E7F479CC}"/>
  </w:font>
  <w:font w:name="Century Schoolbook">
    <w:panose1 w:val="02040604050505020304"/>
    <w:charset w:val="00"/>
    <w:family w:val="roman"/>
    <w:pitch w:val="variable"/>
    <w:sig w:usb0="00000287" w:usb1="00000000" w:usb2="00000000" w:usb3="00000000" w:csb0="0000009F" w:csb1="00000000"/>
    <w:embedRegular r:id="rId4" w:fontKey="{2B64719E-BE54-FD4E-B7D6-C68984CD6442}"/>
    <w:embedBold r:id="rId5" w:fontKey="{C5FEA00B-4061-714F-80F1-DF1367591208}"/>
    <w:embedItalic r:id="rId6" w:fontKey="{8BB16D5A-BA7D-454E-9823-C211E2EE55D6}"/>
  </w:font>
  <w:font w:name="Cambria Math">
    <w:panose1 w:val="02040503050406030204"/>
    <w:charset w:val="00"/>
    <w:family w:val="roman"/>
    <w:pitch w:val="variable"/>
    <w:sig w:usb0="E00002FF" w:usb1="420024FF" w:usb2="00000000" w:usb3="00000000" w:csb0="0000019F" w:csb1="00000000"/>
    <w:embedItalic r:id="rId7" w:fontKey="{FC427594-D33E-1A4E-A4C2-834DEE97E661}"/>
  </w:font>
  <w:font w:name="Roboto">
    <w:panose1 w:val="02000000000000000000"/>
    <w:charset w:val="00"/>
    <w:family w:val="auto"/>
    <w:pitch w:val="variable"/>
    <w:sig w:usb0="E0000AFF" w:usb1="5000217F" w:usb2="00000021" w:usb3="00000000" w:csb0="0000019F" w:csb1="00000000"/>
    <w:embedRegular r:id="rId8" w:fontKey="{49781A38-92F2-5047-9496-93A9B26A4F07}"/>
  </w:font>
  <w:font w:name="Calibri">
    <w:panose1 w:val="020F0502020204030204"/>
    <w:charset w:val="00"/>
    <w:family w:val="swiss"/>
    <w:pitch w:val="variable"/>
    <w:sig w:usb0="E0002AFF" w:usb1="C000247B" w:usb2="00000009" w:usb3="00000000" w:csb0="000001FF" w:csb1="00000000"/>
    <w:embedRegular r:id="rId9" w:fontKey="{F3B758D0-7918-A14F-A1F6-8B7C7CDA8DA0}"/>
  </w:font>
  <w:font w:name="Cambria">
    <w:panose1 w:val="02040503050406030204"/>
    <w:charset w:val="00"/>
    <w:family w:val="roman"/>
    <w:notTrueType/>
    <w:pitch w:val="default"/>
    <w:embedRegular r:id="rId10" w:fontKey="{3658127C-C6A8-5E4F-8D9D-72E54D49E6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360C3" w14:textId="77777777" w:rsidR="00B3517B" w:rsidRDefault="00B3517B">
      <w:pPr>
        <w:spacing w:line="240" w:lineRule="auto"/>
      </w:pPr>
      <w:r>
        <w:separator/>
      </w:r>
    </w:p>
  </w:footnote>
  <w:footnote w:type="continuationSeparator" w:id="0">
    <w:p w14:paraId="6FF1D508" w14:textId="77777777" w:rsidR="00B3517B" w:rsidRDefault="00B3517B">
      <w:pPr>
        <w:spacing w:line="240" w:lineRule="auto"/>
      </w:pPr>
      <w:r>
        <w:continuationSeparator/>
      </w:r>
    </w:p>
  </w:footnote>
  <w:footnote w:id="1">
    <w:p w14:paraId="4C13D590" w14:textId="77777777" w:rsidR="002153CB" w:rsidRDefault="00000000">
      <w:pPr>
        <w:spacing w:line="240" w:lineRule="auto"/>
        <w:rPr>
          <w:rFonts w:ascii="Century Schoolbook" w:eastAsia="Century Schoolbook" w:hAnsi="Century Schoolbook" w:cs="Century Schoolbook"/>
          <w:sz w:val="16"/>
          <w:szCs w:val="16"/>
        </w:rPr>
      </w:pPr>
      <w:r>
        <w:rPr>
          <w:vertAlign w:val="superscript"/>
        </w:rPr>
        <w:footnoteRef/>
      </w:r>
      <w:r>
        <w:rPr>
          <w:rFonts w:ascii="Century Schoolbook" w:eastAsia="Century Schoolbook" w:hAnsi="Century Schoolbook" w:cs="Century Schoolbook"/>
          <w:sz w:val="20"/>
          <w:szCs w:val="20"/>
        </w:rPr>
        <w:t xml:space="preserve"> Anirudh </w:t>
      </w:r>
      <w:proofErr w:type="spellStart"/>
      <w:r>
        <w:rPr>
          <w:rFonts w:ascii="Century Schoolbook" w:eastAsia="Century Schoolbook" w:hAnsi="Century Schoolbook" w:cs="Century Schoolbook"/>
          <w:sz w:val="20"/>
          <w:szCs w:val="20"/>
        </w:rPr>
        <w:t>Chintaluri</w:t>
      </w:r>
      <w:proofErr w:type="spellEnd"/>
      <w:r>
        <w:rPr>
          <w:rFonts w:ascii="Century Schoolbook" w:eastAsia="Century Schoolbook" w:hAnsi="Century Schoolbook" w:cs="Century Schoolbook"/>
          <w:sz w:val="20"/>
          <w:szCs w:val="20"/>
        </w:rPr>
        <w:t xml:space="preserve">, </w:t>
      </w:r>
      <w:hyperlink r:id="rId1">
        <w:r>
          <w:rPr>
            <w:rFonts w:ascii="Century Schoolbook" w:eastAsia="Century Schoolbook" w:hAnsi="Century Schoolbook" w:cs="Century Schoolbook"/>
            <w:color w:val="1155CC"/>
            <w:sz w:val="20"/>
            <w:szCs w:val="20"/>
            <w:u w:val="single"/>
          </w:rPr>
          <w:t>anirudh.chintaluri@gmail.com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 w:id="2">
    <w:p w14:paraId="2FF4C2A4" w14:textId="548D7C18" w:rsidR="002153CB" w:rsidRDefault="00000000">
      <w:pPr>
        <w:spacing w:line="240" w:lineRule="auto"/>
        <w:rPr>
          <w:rFonts w:ascii="Century Schoolbook" w:eastAsia="Century Schoolbook" w:hAnsi="Century Schoolbook" w:cs="Century Schoolbook"/>
          <w:sz w:val="20"/>
          <w:szCs w:val="20"/>
        </w:rPr>
      </w:pPr>
      <w:r>
        <w:rPr>
          <w:vertAlign w:val="superscript"/>
        </w:rPr>
        <w:footnoteRef/>
      </w:r>
      <w:r>
        <w:rPr>
          <w:rFonts w:ascii="Century Schoolbook" w:eastAsia="Century Schoolbook" w:hAnsi="Century Schoolbook" w:cs="Century Schoolbook"/>
          <w:sz w:val="20"/>
          <w:szCs w:val="20"/>
        </w:rPr>
        <w:t xml:space="preserve"> </w:t>
      </w:r>
      <w:r w:rsidR="00847039">
        <w:rPr>
          <w:rFonts w:ascii="Century Schoolbook" w:eastAsia="Century Schoolbook" w:hAnsi="Century Schoolbook" w:cs="Century Schoolbook"/>
          <w:sz w:val="20"/>
          <w:szCs w:val="20"/>
        </w:rPr>
        <w:t>Vini Rezanejad</w:t>
      </w:r>
      <w:r>
        <w:rPr>
          <w:rFonts w:ascii="Century Schoolbook" w:eastAsia="Century Schoolbook" w:hAnsi="Century Schoolbook" w:cs="Century Schoolbook"/>
          <w:sz w:val="20"/>
          <w:szCs w:val="20"/>
        </w:rPr>
        <w:t xml:space="preserve">, </w:t>
      </w:r>
      <w:hyperlink r:id="rId2">
        <w:r>
          <w:rPr>
            <w:rFonts w:ascii="Century Schoolbook" w:eastAsia="Century Schoolbook" w:hAnsi="Century Schoolbook" w:cs="Century Schoolbook"/>
            <w:color w:val="1155CC"/>
            <w:sz w:val="20"/>
            <w:szCs w:val="20"/>
            <w:u w:val="single"/>
          </w:rPr>
          <w:t>radin.rezanezhad@gmail.com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5490" w14:textId="77777777" w:rsidR="002153CB" w:rsidRDefault="002153C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31B1"/>
    <w:multiLevelType w:val="multilevel"/>
    <w:tmpl w:val="2C7854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0444F73"/>
    <w:multiLevelType w:val="multilevel"/>
    <w:tmpl w:val="50BA6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8B0229"/>
    <w:multiLevelType w:val="multilevel"/>
    <w:tmpl w:val="56F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E92320"/>
    <w:multiLevelType w:val="multilevel"/>
    <w:tmpl w:val="7234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5C6022D"/>
    <w:multiLevelType w:val="multilevel"/>
    <w:tmpl w:val="4E547A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54354914">
    <w:abstractNumId w:val="2"/>
  </w:num>
  <w:num w:numId="2" w16cid:durableId="1358921660">
    <w:abstractNumId w:val="0"/>
  </w:num>
  <w:num w:numId="3" w16cid:durableId="579759269">
    <w:abstractNumId w:val="3"/>
  </w:num>
  <w:num w:numId="4" w16cid:durableId="67192564">
    <w:abstractNumId w:val="1"/>
  </w:num>
  <w:num w:numId="5" w16cid:durableId="15553138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CB"/>
    <w:rsid w:val="002153CB"/>
    <w:rsid w:val="007D4EF4"/>
    <w:rsid w:val="00847039"/>
    <w:rsid w:val="00A3026F"/>
    <w:rsid w:val="00B35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86D7F"/>
  <w15:docId w15:val="{B024A3CF-D4D5-7D45-9EA8-AE8A6269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nirudhc5/MAXGBoost-Repo"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2" Type="http://schemas.openxmlformats.org/officeDocument/2006/relationships/hyperlink" Target="mailto:radin.rezanezhad@gmail.com" TargetMode="External"/><Relationship Id="rId1" Type="http://schemas.openxmlformats.org/officeDocument/2006/relationships/hyperlink" Target="mailto:anirudh.chintalur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2636</Words>
  <Characters>15030</Characters>
  <Application>Microsoft Office Word</Application>
  <DocSecurity>0</DocSecurity>
  <Lines>125</Lines>
  <Paragraphs>35</Paragraphs>
  <ScaleCrop>false</ScaleCrop>
  <Company/>
  <LinksUpToDate>false</LinksUpToDate>
  <CharactersWithSpaces>17631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Rezanejad, Vinicius</cp:lastModifiedBy>
  <cp:revision>3</cp:revision>
  <dcterms:created xsi:type="dcterms:W3CDTF">2025-11-07T15:57:00Z</dcterms:created>
  <dcterms:modified xsi:type="dcterms:W3CDTF">2025-11-07T15:58:00Z</dcterms:modified>
</cp:coreProperties>
</file>