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100.0" w:type="pct"/>
        <w:tblLayout w:type="fixed"/>
        <w:tblLook w:val="0600"/>
      </w:tblPr>
      <w:tblGrid>
        <w:gridCol w:w="1920"/>
        <w:gridCol w:w="7719"/>
        <w:tblGridChange w:id="0">
          <w:tblGrid>
            <w:gridCol w:w="1920"/>
            <w:gridCol w:w="7719"/>
          </w:tblGrid>
        </w:tblGridChange>
      </w:tblGrid>
      <w:tr>
        <w:trPr>
          <w:trHeight w:val="56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Termo, Conceito ou Abreviação</w:t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ff9900" w:space="0" w:sz="8" w:val="single"/>
              <w:right w:color="ff9900" w:space="0" w:sz="8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Definição</w:t>
            </w:r>
          </w:p>
        </w:tc>
      </w:tr>
      <w:tr>
        <w:trPr>
          <w:trHeight w:val="115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76" w:lineRule="auto"/>
              <w:ind w:left="0" w:firstLine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Center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Um centro de processamento de dados, ou Data center, é o local onde fica armazenado os sistemas computacionais de uma organização ou empresa, como um sistema de telecomunicações, como o da empresa Telefônica</w:t>
            </w:r>
          </w:p>
        </w:tc>
      </w:tr>
      <w:tr>
        <w:trPr>
          <w:trHeight w:val="1082" w:hRule="atLeast"/>
        </w:trPr>
        <w:tc>
          <w:tcPr>
            <w:tcBorders>
              <w:top w:color="000000" w:space="0" w:sz="0" w:val="nil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ind w:left="0" w:firstLine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bookmarkStart w:colFirst="0" w:colLast="0" w:name="_heading=h.30j0zll" w:id="1"/>
            <w:bookmarkEnd w:id="1"/>
            <w:r w:rsidDel="00000000" w:rsidR="00000000" w:rsidRPr="00000000">
              <w:rPr>
                <w:rtl w:val="0"/>
              </w:rPr>
              <w:t xml:space="preserve"> Asymmetric Digital Subscriber Line, é uma tecnologia de comunicação de dados que permite uma transmissão de dados mais rápida através de linhas telefônicas.</w:t>
            </w:r>
          </w:p>
        </w:tc>
      </w:tr>
      <w:tr>
        <w:trPr>
          <w:trHeight w:val="106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000000" w:space="0" w:sz="4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line="276" w:lineRule="auto"/>
              <w:ind w:left="0" w:firstLine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controle elétrico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000000" w:space="0" w:sz="0" w:val="nil"/>
              <w:bottom w:color="000000" w:space="0" w:sz="4" w:val="single"/>
              <w:right w:color="ff99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Software feito para gerenciar os componentes elétricos e eletrônicos de uma empresa, como por exemplo o Power Scada EcoStruxure.</w:t>
            </w:r>
          </w:p>
        </w:tc>
      </w:tr>
      <w:tr>
        <w:trPr>
          <w:trHeight w:val="1060" w:hRule="atLeast"/>
        </w:trPr>
        <w:tc>
          <w:tcPr>
            <w:tcBorders>
              <w:top w:color="000000" w:space="0" w:sz="4" w:val="single"/>
              <w:left w:color="ff9900" w:space="0" w:sz="8" w:val="single"/>
              <w:bottom w:color="000000" w:space="0" w:sz="4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Sistema elétrico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ff9900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Todos os componentes presentes na infraestrutura eletrônica de uma empresa, como por exemplo um data center.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Glossário OPE - 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264C02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264C02"/>
  </w:style>
  <w:style w:type="paragraph" w:styleId="Rodap">
    <w:name w:val="footer"/>
    <w:basedOn w:val="Normal"/>
    <w:link w:val="RodapChar"/>
    <w:uiPriority w:val="99"/>
    <w:unhideWhenUsed w:val="1"/>
    <w:rsid w:val="00264C02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264C02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dKQvJkVXsWFB9/Zdpe8GK5PJzw==">AMUW2mVdA7aUVZOG7ikYeVvTZMrVSv+UTlQvfCYAcEtMsXGFPc1z5XY7jeoNP0SJ4r0efhlYAU+UpKSZUlnbW7/y7s8Yn1jspFvGAlhUtmSgy2nES8RKfiGofrphBZQxlx16TTOH2FN4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2019-10-07T12:39:00Z</dcterms:created>
</cp:coreProperties>
</file>