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sdt>
      <w:sdtPr>
        <w:tag w:val="goog_rdk_0"/>
      </w:sdtPr>
      <w:sdtContent>
        <w:p w:rsidR="00000000" w:rsidDel="00000000" w:rsidP="00000000" w:rsidRDefault="00000000" w:rsidRPr="00000000" w14:paraId="00000001">
          <w:pPr>
            <w:pStyle w:val="Title"/>
            <w:ind w:left="0" w:right="-164.5275590551165" w:firstLine="0"/>
            <w:rPr/>
          </w:pPr>
          <w:bookmarkStart w:colFirst="0" w:colLast="0" w:name="_heading=h.gjdgxs" w:id="0"/>
          <w:bookmarkEnd w:id="0"/>
          <w:r w:rsidDel="00000000" w:rsidR="00000000" w:rsidRPr="00000000">
            <w:rPr>
              <w:rtl w:val="0"/>
            </w:rPr>
            <w:t xml:space="preserve">Declaração do Escopo</w:t>
          </w:r>
        </w:p>
      </w:sdtContent>
    </w:sdt>
    <w:p w:rsidR="00000000" w:rsidDel="00000000" w:rsidP="00000000" w:rsidRDefault="00000000" w:rsidRPr="00000000" w14:paraId="00000002">
      <w:pPr>
        <w:ind w:left="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A telefônica foi criada em 1924</w:t>
      </w:r>
      <w:r w:rsidDel="00000000" w:rsidR="00000000" w:rsidRPr="00000000">
        <w:rPr>
          <w:color w:val="202122"/>
          <w:sz w:val="24"/>
          <w:szCs w:val="24"/>
          <w:highlight w:val="white"/>
          <w:rtl w:val="0"/>
        </w:rPr>
        <w:t xml:space="preserve"> em Madrid com o nome de “Compañía Telefónica Nacional de España”, ela cresceu em grande escala durante os anos, ultrapassando diversas outras empresas concorrentes. Somente em 2003, acabou se expandindo para Portugal e para dentro do Brasil.</w:t>
      </w:r>
    </w:p>
    <w:p w:rsidR="00000000" w:rsidDel="00000000" w:rsidP="00000000" w:rsidRDefault="00000000" w:rsidRPr="00000000" w14:paraId="00000005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color w:val="202122"/>
          <w:sz w:val="24"/>
          <w:szCs w:val="24"/>
          <w:highlight w:val="white"/>
          <w:rtl w:val="0"/>
        </w:rPr>
        <w:t xml:space="preserve">Começou a operar serviços como a 1ª rede especializada em transmissão de dados na Europa (1971).</w:t>
      </w:r>
    </w:p>
    <w:p w:rsidR="00000000" w:rsidDel="00000000" w:rsidP="00000000" w:rsidRDefault="00000000" w:rsidRPr="00000000" w14:paraId="00000007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color w:val="202122"/>
          <w:sz w:val="24"/>
          <w:szCs w:val="24"/>
          <w:highlight w:val="white"/>
          <w:rtl w:val="0"/>
        </w:rPr>
        <w:t xml:space="preserve">Em 2010, eles adquiriram as ações da Vivo, tornando seus serviços mais amplos como internet banda larga, TV por assinatura, e a internet móvel 3G para todo o Brasil.</w:t>
      </w:r>
    </w:p>
    <w:p w:rsidR="00000000" w:rsidDel="00000000" w:rsidP="00000000" w:rsidRDefault="00000000" w:rsidRPr="00000000" w14:paraId="00000009">
      <w:pPr>
        <w:spacing w:line="276" w:lineRule="auto"/>
        <w:ind w:left="0" w:firstLine="720"/>
        <w:jc w:val="both"/>
        <w:rPr>
          <w:color w:val="202122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Telefônica é considerada uma das maiores empresas de telecomunicações fixas e móveis do mundo, possuindo marcas comerciais na América Latina e em toda Europa. Seus principais serviços incluem uma rede de telefonia móvel e fixa, acesso à internet banda larga (ADSL / Fibra ótica) e serviços de TV por assinatura.</w:t>
      </w:r>
    </w:p>
    <w:p w:rsidR="00000000" w:rsidDel="00000000" w:rsidP="00000000" w:rsidRDefault="00000000" w:rsidRPr="00000000" w14:paraId="0000000B">
      <w:pPr>
        <w:spacing w:line="276" w:lineRule="auto"/>
        <w:ind w:left="0" w:firstLine="72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 o aumento constante de clientes e com o avanço da tecnologia , a </w:t>
      </w:r>
      <w:r w:rsidDel="00000000" w:rsidR="00000000" w:rsidRPr="00000000">
        <w:rPr>
          <w:sz w:val="24"/>
          <w:szCs w:val="24"/>
          <w:rtl w:val="0"/>
        </w:rPr>
        <w:t xml:space="preserve">Telefónica</w:t>
      </w:r>
      <w:r w:rsidDel="00000000" w:rsidR="00000000" w:rsidRPr="00000000">
        <w:rPr>
          <w:sz w:val="24"/>
          <w:szCs w:val="24"/>
          <w:rtl w:val="0"/>
        </w:rPr>
        <w:t xml:space="preserve"> começou a enfrentar um grande problema, a necessidade de construir um novo data center capaz de suprir as necessidades do aumento constante dos clientes e que possibilitasse a fácil atualização de sua infraestrutura quando houvesse novos avanços tecnológicos.</w:t>
      </w:r>
    </w:p>
    <w:p w:rsidR="00000000" w:rsidDel="00000000" w:rsidP="00000000" w:rsidRDefault="00000000" w:rsidRPr="00000000" w14:paraId="0000000D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 isso veio a ideia, construir um novo data center mais moderno e capaz de suportar as necessidades da empresa, além de oferecer maior segurança e eficiência que atendem às novas demandas da era digital.</w:t>
      </w:r>
    </w:p>
    <w:p w:rsidR="00000000" w:rsidDel="00000000" w:rsidP="00000000" w:rsidRDefault="00000000" w:rsidRPr="00000000" w14:paraId="0000000F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novo data center será construído em Alcalá,Espanha utilizando do mais novo serviço de monitoramento eletrônico o Power Scada EcoStruxure.</w:t>
      </w:r>
    </w:p>
    <w:p w:rsidR="00000000" w:rsidDel="00000000" w:rsidP="00000000" w:rsidRDefault="00000000" w:rsidRPr="00000000" w14:paraId="00000011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Nós da empresa Schneider Electric acreditamos que é necessário aprimorar as tecnologias fazendo com que elas sejam mais confiantes, velozes e eficientes e o Power Scada EcoStruxure, que é um sistema de controle elétrico, representa tudo isso.</w:t>
      </w:r>
    </w:p>
    <w:p w:rsidR="00000000" w:rsidDel="00000000" w:rsidP="00000000" w:rsidRDefault="00000000" w:rsidRPr="00000000" w14:paraId="00000013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 por essa e outras questões a Telefônica confia na Schneider Electric para fornecer uma ampla variedade de soluções para este problema, com o foco em economia de energia, segurança e alta rentabilidade.</w:t>
      </w:r>
    </w:p>
    <w:p w:rsidR="00000000" w:rsidDel="00000000" w:rsidP="00000000" w:rsidRDefault="00000000" w:rsidRPr="00000000" w14:paraId="00000015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Power Scada EcoStruxure vai possibilitar que todo o sistema elétrico deste data center possa ser monitorado de forma rápida e prática, coletando diversas informações e diagnosticando o sistema de problemas antes que ele ocorra.</w:t>
      </w:r>
    </w:p>
    <w:p w:rsidR="00000000" w:rsidDel="00000000" w:rsidP="00000000" w:rsidRDefault="00000000" w:rsidRPr="00000000" w14:paraId="00000017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Ele pode evitar sobrecargas, que tendem a afetar sistemas grandes e complexos como este novo data center, ao isolar falhas que poderiam causar grandes problemas e com a sua capacidade de restaurar a energia de forma rápida, falhas simples não irão atrapalhar o fluxo de trabalho e informações do data center.</w:t>
      </w:r>
    </w:p>
    <w:p w:rsidR="00000000" w:rsidDel="00000000" w:rsidP="00000000" w:rsidRDefault="00000000" w:rsidRPr="00000000" w14:paraId="00000019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Power Scada EcoStruxure também ajuda com as suas necessidades de gestão do sistema elétrico, fornecendo informações valiosas sobre o sistema, como gasto de energia e o balanceamento das cargas que cada peça eletrônica está sustentando.</w:t>
      </w:r>
    </w:p>
    <w:p w:rsidR="00000000" w:rsidDel="00000000" w:rsidP="00000000" w:rsidRDefault="00000000" w:rsidRPr="00000000" w14:paraId="0000001B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 o sistema também indica possíveis falhas de peças elétricas, para que os devidos engenheiros possam realizar a sua troca, como a instalação dos novos painéis solares de baixa tensão, que possibilitam uma maior conversação entre o sistema Power Scada EcoStruxure e o sistema elétrico.</w:t>
      </w:r>
    </w:p>
    <w:p w:rsidR="00000000" w:rsidDel="00000000" w:rsidP="00000000" w:rsidRDefault="00000000" w:rsidRPr="00000000" w14:paraId="0000001D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ind w:firstLine="708.6614173228347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Desta forma nós acreditamos que ao implantar esse sistema no novo data center a Telefônica solucionará o seu problema imediato e irá prevenir diversos problemas futuros.</w:t>
      </w: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118.5039370078755" w:top="1700.7874015748032" w:left="1700.7874015748032" w:right="1144.1338582677172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1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252"/>
        <w:tab w:val="right" w:pos="8504"/>
      </w:tabs>
      <w:spacing w:line="240" w:lineRule="auto"/>
      <w:jc w:val="center"/>
      <w:rPr>
        <w:color w:val="00000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2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pos="4252"/>
        <w:tab w:val="right" w:pos="8504"/>
      </w:tabs>
      <w:spacing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uiPriority w:val="9"/>
    <w:qFormat w:val="1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uiPriority w:val="10"/>
    <w:qFormat w:val="1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link w:val="SubttuloChar"/>
    <w:uiPriority w:val="11"/>
    <w:qFormat w:val="1"/>
    <w:pPr>
      <w:keepNext w:val="1"/>
      <w:keepLines w:val="1"/>
      <w:spacing w:after="320"/>
    </w:pPr>
    <w:rPr>
      <w:color w:val="666666"/>
      <w:sz w:val="30"/>
      <w:szCs w:val="30"/>
    </w:rPr>
  </w:style>
  <w:style w:type="table" w:styleId="a" w:customStyle="1">
    <w:basedOn w:val="TableNormal0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Cabealho">
    <w:name w:val="header"/>
    <w:basedOn w:val="Normal"/>
    <w:link w:val="CabealhoChar"/>
    <w:uiPriority w:val="99"/>
    <w:unhideWhenUsed w:val="1"/>
    <w:rsid w:val="00A4245A"/>
    <w:pPr>
      <w:tabs>
        <w:tab w:val="center" w:pos="4252"/>
        <w:tab w:val="right" w:pos="8504"/>
      </w:tabs>
      <w:spacing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A4245A"/>
  </w:style>
  <w:style w:type="paragraph" w:styleId="Rodap">
    <w:name w:val="footer"/>
    <w:basedOn w:val="Normal"/>
    <w:link w:val="RodapChar"/>
    <w:uiPriority w:val="99"/>
    <w:unhideWhenUsed w:val="1"/>
    <w:rsid w:val="00A4245A"/>
    <w:pPr>
      <w:tabs>
        <w:tab w:val="center" w:pos="4252"/>
        <w:tab w:val="right" w:pos="8504"/>
      </w:tabs>
      <w:spacing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A4245A"/>
  </w:style>
  <w:style w:type="character" w:styleId="SubttuloChar" w:customStyle="1">
    <w:name w:val="Subtítulo Char"/>
    <w:basedOn w:val="Fontepargpadro"/>
    <w:link w:val="Subttulo"/>
    <w:rsid w:val="00FF2637"/>
    <w:rPr>
      <w:color w:val="666666"/>
      <w:sz w:val="30"/>
      <w:szCs w:val="30"/>
    </w:rPr>
  </w:style>
  <w:style w:type="character" w:styleId="Hyperlink">
    <w:name w:val="Hyperlink"/>
    <w:basedOn w:val="Fontepargpadro"/>
    <w:uiPriority w:val="99"/>
    <w:unhideWhenUsed w:val="1"/>
    <w:rsid w:val="00FE1CC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FE1CC2"/>
    <w:rPr>
      <w:color w:val="605e5c"/>
      <w:shd w:color="auto" w:fill="e1dfdd" w:val="clear"/>
    </w:rPr>
  </w:style>
  <w:style w:type="table" w:styleId="a0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table" w:styleId="a1" w:customStyle="1">
    <w:basedOn w:val="TableNormal0"/>
    <w:tblPr>
      <w:tblStyleRowBandSize w:val="1"/>
      <w:tblStyleColBandSize w:val="1"/>
      <w:tblCellMar>
        <w:left w:w="115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vL29JCENgUyckXgpZxvwwwk8vWw==">AMUW2mVvJiyVDQLji1ThfPMFk8rZ5f06pFdMg3bbLKbKVyjEkRkSiPkzcOHSapv6c//0trhBrfGJc4yQm7Hv2VmiZfK9x8xVtAbWOBVUdGiGyf3XNpA/K/5IcikkJBeUXK1TIqVp7Vw59A2YLqNA3xNtREZR0+70Xg==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2019-10-07T12:35:00Z</dcterms:created>
</cp:coreProperties>
</file>