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F27C0" w14:textId="77777777" w:rsidR="002811B9" w:rsidRPr="00A76B22" w:rsidRDefault="00E16D21" w:rsidP="00922495">
      <w:pPr>
        <w:spacing w:after="0"/>
        <w:jc w:val="center"/>
        <w:rPr>
          <w:szCs w:val="24"/>
        </w:rPr>
      </w:pPr>
      <w:r>
        <w:rPr>
          <w:szCs w:val="24"/>
        </w:rPr>
        <w:t>VINÍCIUS DE OLIVEIRA BERTOLOTTI BRAGA</w:t>
      </w:r>
    </w:p>
    <w:p w14:paraId="16F4BD3C" w14:textId="77777777" w:rsidR="002811B9" w:rsidRPr="00690312" w:rsidRDefault="002811B9" w:rsidP="00922495">
      <w:pPr>
        <w:spacing w:after="0"/>
      </w:pPr>
    </w:p>
    <w:p w14:paraId="460C7399" w14:textId="77777777" w:rsidR="002811B9" w:rsidRPr="00690312" w:rsidRDefault="002811B9" w:rsidP="00922495">
      <w:pPr>
        <w:spacing w:after="0"/>
      </w:pPr>
    </w:p>
    <w:p w14:paraId="66BB9563" w14:textId="77777777" w:rsidR="002811B9" w:rsidRPr="00690312" w:rsidRDefault="002811B9" w:rsidP="00922495">
      <w:pPr>
        <w:spacing w:after="0"/>
      </w:pPr>
    </w:p>
    <w:p w14:paraId="455EEAE1" w14:textId="77777777" w:rsidR="000F6078" w:rsidRDefault="000F6078" w:rsidP="00922495">
      <w:pPr>
        <w:spacing w:after="0"/>
        <w:jc w:val="center"/>
        <w:rPr>
          <w:szCs w:val="24"/>
        </w:rPr>
      </w:pPr>
    </w:p>
    <w:p w14:paraId="65659380" w14:textId="77777777" w:rsidR="000F6078" w:rsidRDefault="000F6078" w:rsidP="00922495">
      <w:pPr>
        <w:spacing w:after="0"/>
        <w:jc w:val="center"/>
        <w:rPr>
          <w:szCs w:val="24"/>
        </w:rPr>
      </w:pPr>
    </w:p>
    <w:p w14:paraId="04D88692" w14:textId="77777777" w:rsidR="000F6078" w:rsidRDefault="000F6078" w:rsidP="00922495">
      <w:pPr>
        <w:spacing w:after="0"/>
        <w:jc w:val="center"/>
        <w:rPr>
          <w:szCs w:val="24"/>
        </w:rPr>
      </w:pPr>
    </w:p>
    <w:p w14:paraId="01AF4631" w14:textId="77777777" w:rsidR="000F6078" w:rsidRDefault="000F6078" w:rsidP="00922495">
      <w:pPr>
        <w:spacing w:after="0"/>
        <w:jc w:val="center"/>
        <w:rPr>
          <w:szCs w:val="24"/>
        </w:rPr>
      </w:pPr>
    </w:p>
    <w:p w14:paraId="3C246D4A" w14:textId="77777777" w:rsidR="00314CF6" w:rsidRDefault="00314CF6" w:rsidP="00922495">
      <w:pPr>
        <w:spacing w:after="0"/>
        <w:jc w:val="center"/>
        <w:rPr>
          <w:szCs w:val="24"/>
        </w:rPr>
      </w:pPr>
    </w:p>
    <w:p w14:paraId="5C817F28" w14:textId="77777777" w:rsidR="00314CF6" w:rsidRDefault="00314CF6" w:rsidP="00922495">
      <w:pPr>
        <w:spacing w:after="0"/>
        <w:jc w:val="center"/>
        <w:rPr>
          <w:szCs w:val="24"/>
        </w:rPr>
      </w:pPr>
    </w:p>
    <w:p w14:paraId="6EF8191D" w14:textId="77777777" w:rsidR="00314CF6" w:rsidRDefault="00314CF6" w:rsidP="00922495">
      <w:pPr>
        <w:spacing w:after="0"/>
        <w:jc w:val="center"/>
        <w:rPr>
          <w:szCs w:val="24"/>
        </w:rPr>
      </w:pPr>
    </w:p>
    <w:p w14:paraId="3EE869D7" w14:textId="77777777" w:rsidR="006D06A6" w:rsidRDefault="006D06A6" w:rsidP="00922495">
      <w:pPr>
        <w:spacing w:after="0"/>
        <w:jc w:val="center"/>
        <w:rPr>
          <w:szCs w:val="24"/>
        </w:rPr>
      </w:pPr>
    </w:p>
    <w:p w14:paraId="75314421" w14:textId="77777777" w:rsidR="006D06A6" w:rsidRDefault="006D06A6" w:rsidP="00922495">
      <w:pPr>
        <w:spacing w:after="0"/>
        <w:jc w:val="center"/>
        <w:rPr>
          <w:szCs w:val="24"/>
        </w:rPr>
      </w:pPr>
    </w:p>
    <w:p w14:paraId="7E0F9CD2" w14:textId="77777777" w:rsidR="00D17F9B" w:rsidRDefault="00D17F9B" w:rsidP="00922495">
      <w:pPr>
        <w:spacing w:after="0"/>
        <w:jc w:val="center"/>
        <w:rPr>
          <w:szCs w:val="24"/>
        </w:rPr>
      </w:pPr>
    </w:p>
    <w:p w14:paraId="380027CA" w14:textId="77777777" w:rsidR="00D17F9B" w:rsidRDefault="00D17F9B" w:rsidP="00922495">
      <w:pPr>
        <w:spacing w:after="0"/>
        <w:jc w:val="center"/>
        <w:rPr>
          <w:szCs w:val="24"/>
        </w:rPr>
      </w:pPr>
    </w:p>
    <w:p w14:paraId="790341D4" w14:textId="77777777" w:rsidR="00D17F9B" w:rsidRDefault="00D17F9B" w:rsidP="00922495">
      <w:pPr>
        <w:spacing w:after="0"/>
        <w:jc w:val="center"/>
        <w:rPr>
          <w:szCs w:val="24"/>
        </w:rPr>
      </w:pPr>
    </w:p>
    <w:p w14:paraId="0D014CDE" w14:textId="77777777" w:rsidR="002811B9" w:rsidRDefault="00E16D21" w:rsidP="00DA15A6">
      <w:pPr>
        <w:spacing w:after="0"/>
      </w:pPr>
      <w:r>
        <w:rPr>
          <w:szCs w:val="24"/>
        </w:rPr>
        <w:t>ESTIMAÇÃO DE VAR E EXPECTED SHORTFALL CONDICIONAIS AO REGIME DE MERCADO: UMA ABORDAGEM HÍBRIDA COM HIDDEN MARKOV MODELS E REDES LSTM APLICADA A UMA CARTEIRA DO AGRONEGÓCIO BRASILEIRO</w:t>
      </w:r>
    </w:p>
    <w:p w14:paraId="05EE9507" w14:textId="77777777" w:rsidR="00314CF6" w:rsidRDefault="00314CF6" w:rsidP="00DA15A6">
      <w:pPr>
        <w:spacing w:after="0"/>
      </w:pPr>
    </w:p>
    <w:p w14:paraId="2CD7DFBF" w14:textId="77777777" w:rsidR="00DA15A6" w:rsidRPr="00690312" w:rsidRDefault="00DA15A6" w:rsidP="00DA15A6">
      <w:pPr>
        <w:spacing w:after="0"/>
      </w:pPr>
    </w:p>
    <w:p w14:paraId="70AF70AF" w14:textId="77777777" w:rsidR="002811B9" w:rsidRPr="00D20C40" w:rsidRDefault="000B76AD" w:rsidP="005238C1">
      <w:pPr>
        <w:pStyle w:val="TextoRecuado"/>
        <w:ind w:left="4536"/>
      </w:pPr>
      <w:r>
        <w:t xml:space="preserve">Projeto do Trabalho de Conclusão de Curso apresentado ao curso de Engenharia de Produção da Escola de Engenharia da Universidade Presbiteriana Mackenzie, como requisito parcial para a obtenção do Título de Bacharel. </w:t>
      </w:r>
    </w:p>
    <w:p w14:paraId="1582E2A9" w14:textId="77777777" w:rsidR="002811B9" w:rsidRPr="00690312" w:rsidRDefault="002811B9" w:rsidP="00DA15A6">
      <w:pPr>
        <w:spacing w:after="0"/>
      </w:pPr>
    </w:p>
    <w:p w14:paraId="593E3540" w14:textId="77777777" w:rsidR="00314CF6" w:rsidRDefault="00314CF6" w:rsidP="00DA15A6">
      <w:pPr>
        <w:spacing w:after="0"/>
        <w:jc w:val="both"/>
        <w:rPr>
          <w:szCs w:val="24"/>
        </w:rPr>
      </w:pPr>
    </w:p>
    <w:p w14:paraId="428DB982" w14:textId="77777777" w:rsidR="00DA15A6" w:rsidRDefault="00DA15A6" w:rsidP="00DA15A6">
      <w:pPr>
        <w:spacing w:after="0"/>
        <w:jc w:val="both"/>
        <w:rPr>
          <w:szCs w:val="24"/>
        </w:rPr>
      </w:pPr>
    </w:p>
    <w:p w14:paraId="52128139" w14:textId="77777777" w:rsidR="00D17F9B" w:rsidRDefault="00D17F9B" w:rsidP="00DA15A6">
      <w:pPr>
        <w:spacing w:after="0"/>
        <w:jc w:val="both"/>
        <w:rPr>
          <w:szCs w:val="24"/>
        </w:rPr>
      </w:pPr>
    </w:p>
    <w:p w14:paraId="2AF44F1C" w14:textId="77777777" w:rsidR="002811B9" w:rsidRPr="00A76B22" w:rsidRDefault="00314CF6" w:rsidP="00DA15A6">
      <w:pPr>
        <w:spacing w:after="0"/>
        <w:jc w:val="both"/>
        <w:rPr>
          <w:szCs w:val="24"/>
        </w:rPr>
      </w:pPr>
      <w:r>
        <w:rPr>
          <w:szCs w:val="24"/>
        </w:rPr>
        <w:t xml:space="preserve">ORIENTADOR: PROF. </w:t>
      </w:r>
      <w:r>
        <w:t>GUSTAVO ROCHA DA SILVA</w:t>
      </w:r>
    </w:p>
    <w:p w14:paraId="798BB21F" w14:textId="77777777" w:rsidR="00C050C4" w:rsidRDefault="002811B9" w:rsidP="00DA15A6">
      <w:pPr>
        <w:spacing w:after="0"/>
      </w:pPr>
      <w:r>
        <w:br/>
      </w:r>
    </w:p>
    <w:p w14:paraId="7F3D3E01" w14:textId="77777777" w:rsidR="00C050C4" w:rsidRDefault="00C050C4" w:rsidP="00DA15A6">
      <w:pPr>
        <w:pStyle w:val="TextoGeral"/>
        <w:spacing w:after="0"/>
        <w:jc w:val="center"/>
      </w:pPr>
    </w:p>
    <w:p w14:paraId="6B80982F" w14:textId="77777777" w:rsidR="007B03B6" w:rsidRPr="00314CF6" w:rsidRDefault="002811B9" w:rsidP="00DA15A6">
      <w:pPr>
        <w:pStyle w:val="TextoGeral"/>
        <w:spacing w:after="0"/>
        <w:jc w:val="center"/>
      </w:pPr>
      <w:r>
        <w:t>São Paulo</w:t>
      </w:r>
    </w:p>
    <w:p w14:paraId="3F5B2B99" w14:textId="77777777" w:rsidR="00314CF6" w:rsidRDefault="006A756E" w:rsidP="00DA15A6">
      <w:pPr>
        <w:pStyle w:val="TextoGeral"/>
        <w:spacing w:after="0"/>
        <w:jc w:val="center"/>
      </w:pPr>
      <w:r>
        <w:t>2026</w:t>
      </w:r>
    </w:p>
    <w:p w14:paraId="27A47569" w14:textId="77777777" w:rsidR="00DB072F" w:rsidRDefault="00DB072F">
      <w:pPr>
        <w:pStyle w:val="Reviso2Body"/>
        <w:sectPr w:rsidR="00DB072F" w:rsidSect="00967281">
          <w:pgSz w:w="11906" w:h="16838"/>
          <w:pgMar w:top="1701" w:right="1134" w:bottom="1134" w:left="1701" w:header="1134" w:footer="709" w:gutter="0"/>
          <w:cols w:space="708"/>
          <w:docGrid w:linePitch="360"/>
        </w:sectPr>
      </w:pPr>
    </w:p>
    <w:p w14:paraId="6B38F50A" w14:textId="77777777" w:rsidR="00DB072F" w:rsidRDefault="0053141D">
      <w:pPr>
        <w:pStyle w:val="Reviso2TocTitle"/>
      </w:pPr>
      <w:r>
        <w:lastRenderedPageBreak/>
        <w:t>SUMÁRIO</w:t>
      </w:r>
    </w:p>
    <w:p w14:paraId="168CCF55" w14:textId="648C947F" w:rsidR="001D15FC" w:rsidRDefault="0053141D">
      <w:pPr>
        <w:pStyle w:val="TOC1"/>
        <w:rPr>
          <w:rFonts w:asciiTheme="minorHAnsi" w:eastAsiaTheme="minorEastAsia" w:hAnsiTheme="minorHAnsi" w:cstheme="minorBidi"/>
          <w:b w:val="0"/>
          <w:caps w:val="0"/>
          <w:noProof/>
          <w:kern w:val="2"/>
          <w:szCs w:val="24"/>
          <w:lang w:val="en-US"/>
          <w14:ligatures w14:val="standardContextual"/>
        </w:rPr>
      </w:pPr>
      <w:r>
        <w:fldChar w:fldCharType="begin"/>
      </w:r>
      <w:r>
        <w:instrText xml:space="preserve"> TOC \o "1-3" \h \z \u </w:instrText>
      </w:r>
      <w:r>
        <w:fldChar w:fldCharType="separate"/>
      </w:r>
      <w:hyperlink w:anchor="_Toc243470579" w:history="1">
        <w:r w:rsidR="001D15FC" w:rsidRPr="00495FD9">
          <w:rPr>
            <w:rStyle w:val="Hyperlink"/>
            <w:noProof/>
          </w:rPr>
          <w:t>1 INTRODUÇÃO</w:t>
        </w:r>
        <w:r w:rsidR="001D15FC">
          <w:rPr>
            <w:noProof/>
            <w:webHidden/>
          </w:rPr>
          <w:tab/>
        </w:r>
        <w:r w:rsidR="001D15FC">
          <w:rPr>
            <w:noProof/>
            <w:webHidden/>
          </w:rPr>
          <w:fldChar w:fldCharType="begin"/>
        </w:r>
        <w:r w:rsidR="001D15FC">
          <w:rPr>
            <w:noProof/>
            <w:webHidden/>
          </w:rPr>
          <w:instrText xml:space="preserve"> PAGEREF _Toc243470579 \h </w:instrText>
        </w:r>
        <w:r w:rsidR="001D15FC">
          <w:rPr>
            <w:noProof/>
            <w:webHidden/>
          </w:rPr>
        </w:r>
        <w:r w:rsidR="001D15FC">
          <w:rPr>
            <w:noProof/>
            <w:webHidden/>
          </w:rPr>
          <w:fldChar w:fldCharType="separate"/>
        </w:r>
        <w:r w:rsidR="001D15FC">
          <w:rPr>
            <w:noProof/>
            <w:webHidden/>
          </w:rPr>
          <w:t>5</w:t>
        </w:r>
        <w:r w:rsidR="001D15FC">
          <w:rPr>
            <w:noProof/>
            <w:webHidden/>
          </w:rPr>
          <w:fldChar w:fldCharType="end"/>
        </w:r>
      </w:hyperlink>
    </w:p>
    <w:p w14:paraId="32FABAE2" w14:textId="593B94B5" w:rsidR="001D15FC" w:rsidRDefault="001D15FC">
      <w:pPr>
        <w:pStyle w:val="TOC2"/>
        <w:rPr>
          <w:rFonts w:asciiTheme="minorHAnsi" w:eastAsiaTheme="minorEastAsia" w:hAnsiTheme="minorHAnsi" w:cstheme="minorBidi"/>
          <w:caps w:val="0"/>
          <w:noProof/>
          <w:kern w:val="2"/>
          <w:szCs w:val="24"/>
          <w:lang w:val="en-US"/>
          <w14:ligatures w14:val="standardContextual"/>
        </w:rPr>
      </w:pPr>
      <w:hyperlink w:anchor="_Toc243470580" w:history="1">
        <w:r w:rsidRPr="00495FD9">
          <w:rPr>
            <w:rStyle w:val="Hyperlink"/>
            <w:noProof/>
          </w:rPr>
          <w:t>1.1 Problema de pesquisa</w:t>
        </w:r>
        <w:r>
          <w:rPr>
            <w:noProof/>
            <w:webHidden/>
          </w:rPr>
          <w:tab/>
        </w:r>
        <w:r>
          <w:rPr>
            <w:noProof/>
            <w:webHidden/>
          </w:rPr>
          <w:fldChar w:fldCharType="begin"/>
        </w:r>
        <w:r>
          <w:rPr>
            <w:noProof/>
            <w:webHidden/>
          </w:rPr>
          <w:instrText xml:space="preserve"> PAGEREF _Toc243470580 \h </w:instrText>
        </w:r>
        <w:r>
          <w:rPr>
            <w:noProof/>
            <w:webHidden/>
          </w:rPr>
        </w:r>
        <w:r>
          <w:rPr>
            <w:noProof/>
            <w:webHidden/>
          </w:rPr>
          <w:fldChar w:fldCharType="separate"/>
        </w:r>
        <w:r>
          <w:rPr>
            <w:noProof/>
            <w:webHidden/>
          </w:rPr>
          <w:t>5</w:t>
        </w:r>
        <w:r>
          <w:rPr>
            <w:noProof/>
            <w:webHidden/>
          </w:rPr>
          <w:fldChar w:fldCharType="end"/>
        </w:r>
      </w:hyperlink>
    </w:p>
    <w:p w14:paraId="57E0431F" w14:textId="5FBE6F5F" w:rsidR="001D15FC" w:rsidRDefault="001D15FC">
      <w:pPr>
        <w:pStyle w:val="TOC2"/>
        <w:rPr>
          <w:rFonts w:asciiTheme="minorHAnsi" w:eastAsiaTheme="minorEastAsia" w:hAnsiTheme="minorHAnsi" w:cstheme="minorBidi"/>
          <w:caps w:val="0"/>
          <w:noProof/>
          <w:kern w:val="2"/>
          <w:szCs w:val="24"/>
          <w:lang w:val="en-US"/>
          <w14:ligatures w14:val="standardContextual"/>
        </w:rPr>
      </w:pPr>
      <w:hyperlink w:anchor="_Toc243470581" w:history="1">
        <w:r w:rsidRPr="00495FD9">
          <w:rPr>
            <w:rStyle w:val="Hyperlink"/>
            <w:noProof/>
          </w:rPr>
          <w:t>1.2 Objetivos</w:t>
        </w:r>
        <w:r>
          <w:rPr>
            <w:noProof/>
            <w:webHidden/>
          </w:rPr>
          <w:tab/>
        </w:r>
        <w:r>
          <w:rPr>
            <w:noProof/>
            <w:webHidden/>
          </w:rPr>
          <w:fldChar w:fldCharType="begin"/>
        </w:r>
        <w:r>
          <w:rPr>
            <w:noProof/>
            <w:webHidden/>
          </w:rPr>
          <w:instrText xml:space="preserve"> PAGEREF _Toc243470581 \h </w:instrText>
        </w:r>
        <w:r>
          <w:rPr>
            <w:noProof/>
            <w:webHidden/>
          </w:rPr>
        </w:r>
        <w:r>
          <w:rPr>
            <w:noProof/>
            <w:webHidden/>
          </w:rPr>
          <w:fldChar w:fldCharType="separate"/>
        </w:r>
        <w:r>
          <w:rPr>
            <w:noProof/>
            <w:webHidden/>
          </w:rPr>
          <w:t>6</w:t>
        </w:r>
        <w:r>
          <w:rPr>
            <w:noProof/>
            <w:webHidden/>
          </w:rPr>
          <w:fldChar w:fldCharType="end"/>
        </w:r>
      </w:hyperlink>
    </w:p>
    <w:p w14:paraId="517BDFFE" w14:textId="0F514C00" w:rsidR="001D15FC" w:rsidRDefault="001D15FC">
      <w:pPr>
        <w:pStyle w:val="TOC3"/>
        <w:rPr>
          <w:rFonts w:asciiTheme="minorHAnsi" w:eastAsiaTheme="minorEastAsia" w:hAnsiTheme="minorHAnsi" w:cstheme="minorBidi"/>
          <w:noProof/>
          <w:kern w:val="2"/>
          <w:szCs w:val="24"/>
          <w:lang w:val="en-US"/>
          <w14:ligatures w14:val="standardContextual"/>
        </w:rPr>
      </w:pPr>
      <w:hyperlink w:anchor="_Toc243470582" w:history="1">
        <w:r w:rsidRPr="00495FD9">
          <w:rPr>
            <w:rStyle w:val="Hyperlink"/>
            <w:noProof/>
          </w:rPr>
          <w:t>1.2.1 Objetivo geral</w:t>
        </w:r>
        <w:r>
          <w:rPr>
            <w:noProof/>
            <w:webHidden/>
          </w:rPr>
          <w:tab/>
        </w:r>
        <w:r>
          <w:rPr>
            <w:noProof/>
            <w:webHidden/>
          </w:rPr>
          <w:fldChar w:fldCharType="begin"/>
        </w:r>
        <w:r>
          <w:rPr>
            <w:noProof/>
            <w:webHidden/>
          </w:rPr>
          <w:instrText xml:space="preserve"> PAGEREF _Toc243470582 \h </w:instrText>
        </w:r>
        <w:r>
          <w:rPr>
            <w:noProof/>
            <w:webHidden/>
          </w:rPr>
        </w:r>
        <w:r>
          <w:rPr>
            <w:noProof/>
            <w:webHidden/>
          </w:rPr>
          <w:fldChar w:fldCharType="separate"/>
        </w:r>
        <w:r>
          <w:rPr>
            <w:noProof/>
            <w:webHidden/>
          </w:rPr>
          <w:t>6</w:t>
        </w:r>
        <w:r>
          <w:rPr>
            <w:noProof/>
            <w:webHidden/>
          </w:rPr>
          <w:fldChar w:fldCharType="end"/>
        </w:r>
      </w:hyperlink>
    </w:p>
    <w:p w14:paraId="184CE40D" w14:textId="107875EB" w:rsidR="001D15FC" w:rsidRDefault="001D15FC">
      <w:pPr>
        <w:pStyle w:val="TOC3"/>
        <w:rPr>
          <w:rFonts w:asciiTheme="minorHAnsi" w:eastAsiaTheme="minorEastAsia" w:hAnsiTheme="minorHAnsi" w:cstheme="minorBidi"/>
          <w:noProof/>
          <w:kern w:val="2"/>
          <w:szCs w:val="24"/>
          <w:lang w:val="en-US"/>
          <w14:ligatures w14:val="standardContextual"/>
        </w:rPr>
      </w:pPr>
      <w:hyperlink w:anchor="_Toc243470583" w:history="1">
        <w:r w:rsidRPr="00495FD9">
          <w:rPr>
            <w:rStyle w:val="Hyperlink"/>
            <w:noProof/>
          </w:rPr>
          <w:t>1.2.2 Objetivos específicos</w:t>
        </w:r>
        <w:r>
          <w:rPr>
            <w:noProof/>
            <w:webHidden/>
          </w:rPr>
          <w:tab/>
        </w:r>
        <w:r>
          <w:rPr>
            <w:noProof/>
            <w:webHidden/>
          </w:rPr>
          <w:fldChar w:fldCharType="begin"/>
        </w:r>
        <w:r>
          <w:rPr>
            <w:noProof/>
            <w:webHidden/>
          </w:rPr>
          <w:instrText xml:space="preserve"> PAGEREF _Toc243470583 \h </w:instrText>
        </w:r>
        <w:r>
          <w:rPr>
            <w:noProof/>
            <w:webHidden/>
          </w:rPr>
        </w:r>
        <w:r>
          <w:rPr>
            <w:noProof/>
            <w:webHidden/>
          </w:rPr>
          <w:fldChar w:fldCharType="separate"/>
        </w:r>
        <w:r>
          <w:rPr>
            <w:noProof/>
            <w:webHidden/>
          </w:rPr>
          <w:t>6</w:t>
        </w:r>
        <w:r>
          <w:rPr>
            <w:noProof/>
            <w:webHidden/>
          </w:rPr>
          <w:fldChar w:fldCharType="end"/>
        </w:r>
      </w:hyperlink>
    </w:p>
    <w:p w14:paraId="58D572DB" w14:textId="42937AFE" w:rsidR="001D15FC" w:rsidRDefault="001D15FC">
      <w:pPr>
        <w:pStyle w:val="TOC2"/>
        <w:rPr>
          <w:rFonts w:asciiTheme="minorHAnsi" w:eastAsiaTheme="minorEastAsia" w:hAnsiTheme="minorHAnsi" w:cstheme="minorBidi"/>
          <w:caps w:val="0"/>
          <w:noProof/>
          <w:kern w:val="2"/>
          <w:szCs w:val="24"/>
          <w:lang w:val="en-US"/>
          <w14:ligatures w14:val="standardContextual"/>
        </w:rPr>
      </w:pPr>
      <w:hyperlink w:anchor="_Toc243470584" w:history="1">
        <w:r w:rsidRPr="00495FD9">
          <w:rPr>
            <w:rStyle w:val="Hyperlink"/>
            <w:noProof/>
          </w:rPr>
          <w:t>1.3 Justificativa</w:t>
        </w:r>
        <w:r>
          <w:rPr>
            <w:noProof/>
            <w:webHidden/>
          </w:rPr>
          <w:tab/>
        </w:r>
        <w:r>
          <w:rPr>
            <w:noProof/>
            <w:webHidden/>
          </w:rPr>
          <w:fldChar w:fldCharType="begin"/>
        </w:r>
        <w:r>
          <w:rPr>
            <w:noProof/>
            <w:webHidden/>
          </w:rPr>
          <w:instrText xml:space="preserve"> PAGEREF _Toc243470584 \h </w:instrText>
        </w:r>
        <w:r>
          <w:rPr>
            <w:noProof/>
            <w:webHidden/>
          </w:rPr>
        </w:r>
        <w:r>
          <w:rPr>
            <w:noProof/>
            <w:webHidden/>
          </w:rPr>
          <w:fldChar w:fldCharType="separate"/>
        </w:r>
        <w:r>
          <w:rPr>
            <w:noProof/>
            <w:webHidden/>
          </w:rPr>
          <w:t>7</w:t>
        </w:r>
        <w:r>
          <w:rPr>
            <w:noProof/>
            <w:webHidden/>
          </w:rPr>
          <w:fldChar w:fldCharType="end"/>
        </w:r>
      </w:hyperlink>
    </w:p>
    <w:p w14:paraId="0FA414E0" w14:textId="37FAF847" w:rsidR="001D15FC" w:rsidRDefault="001D15FC">
      <w:pPr>
        <w:pStyle w:val="TOC1"/>
        <w:rPr>
          <w:rFonts w:asciiTheme="minorHAnsi" w:eastAsiaTheme="minorEastAsia" w:hAnsiTheme="minorHAnsi" w:cstheme="minorBidi"/>
          <w:b w:val="0"/>
          <w:caps w:val="0"/>
          <w:noProof/>
          <w:kern w:val="2"/>
          <w:szCs w:val="24"/>
          <w:lang w:val="en-US"/>
          <w14:ligatures w14:val="standardContextual"/>
        </w:rPr>
      </w:pPr>
      <w:hyperlink w:anchor="_Toc243470585" w:history="1">
        <w:r w:rsidRPr="00495FD9">
          <w:rPr>
            <w:rStyle w:val="Hyperlink"/>
            <w:noProof/>
          </w:rPr>
          <w:t>2 REVISÃO DA LITERATURA</w:t>
        </w:r>
        <w:r>
          <w:rPr>
            <w:noProof/>
            <w:webHidden/>
          </w:rPr>
          <w:tab/>
        </w:r>
        <w:r>
          <w:rPr>
            <w:noProof/>
            <w:webHidden/>
          </w:rPr>
          <w:fldChar w:fldCharType="begin"/>
        </w:r>
        <w:r>
          <w:rPr>
            <w:noProof/>
            <w:webHidden/>
          </w:rPr>
          <w:instrText xml:space="preserve"> PAGEREF _Toc243470585 \h </w:instrText>
        </w:r>
        <w:r>
          <w:rPr>
            <w:noProof/>
            <w:webHidden/>
          </w:rPr>
        </w:r>
        <w:r>
          <w:rPr>
            <w:noProof/>
            <w:webHidden/>
          </w:rPr>
          <w:fldChar w:fldCharType="separate"/>
        </w:r>
        <w:r>
          <w:rPr>
            <w:noProof/>
            <w:webHidden/>
          </w:rPr>
          <w:t>8</w:t>
        </w:r>
        <w:r>
          <w:rPr>
            <w:noProof/>
            <w:webHidden/>
          </w:rPr>
          <w:fldChar w:fldCharType="end"/>
        </w:r>
      </w:hyperlink>
    </w:p>
    <w:p w14:paraId="24C19CA2" w14:textId="32B10CEC" w:rsidR="001D15FC" w:rsidRDefault="001D15FC">
      <w:pPr>
        <w:pStyle w:val="TOC2"/>
        <w:rPr>
          <w:rFonts w:asciiTheme="minorHAnsi" w:eastAsiaTheme="minorEastAsia" w:hAnsiTheme="minorHAnsi" w:cstheme="minorBidi"/>
          <w:caps w:val="0"/>
          <w:noProof/>
          <w:kern w:val="2"/>
          <w:szCs w:val="24"/>
          <w:lang w:val="en-US"/>
          <w14:ligatures w14:val="standardContextual"/>
        </w:rPr>
      </w:pPr>
      <w:hyperlink w:anchor="_Toc243470586" w:history="1">
        <w:r w:rsidRPr="00495FD9">
          <w:rPr>
            <w:rStyle w:val="Hyperlink"/>
            <w:noProof/>
          </w:rPr>
          <w:t>2.1 Delimitação e organização da revisão</w:t>
        </w:r>
        <w:r>
          <w:rPr>
            <w:noProof/>
            <w:webHidden/>
          </w:rPr>
          <w:tab/>
        </w:r>
        <w:r>
          <w:rPr>
            <w:noProof/>
            <w:webHidden/>
          </w:rPr>
          <w:fldChar w:fldCharType="begin"/>
        </w:r>
        <w:r>
          <w:rPr>
            <w:noProof/>
            <w:webHidden/>
          </w:rPr>
          <w:instrText xml:space="preserve"> PAGEREF _Toc243470586 \h </w:instrText>
        </w:r>
        <w:r>
          <w:rPr>
            <w:noProof/>
            <w:webHidden/>
          </w:rPr>
        </w:r>
        <w:r>
          <w:rPr>
            <w:noProof/>
            <w:webHidden/>
          </w:rPr>
          <w:fldChar w:fldCharType="separate"/>
        </w:r>
        <w:r>
          <w:rPr>
            <w:noProof/>
            <w:webHidden/>
          </w:rPr>
          <w:t>8</w:t>
        </w:r>
        <w:r>
          <w:rPr>
            <w:noProof/>
            <w:webHidden/>
          </w:rPr>
          <w:fldChar w:fldCharType="end"/>
        </w:r>
      </w:hyperlink>
    </w:p>
    <w:p w14:paraId="32A2C2BA" w14:textId="1B44B95A" w:rsidR="001D15FC" w:rsidRDefault="001D15FC">
      <w:pPr>
        <w:pStyle w:val="TOC2"/>
        <w:rPr>
          <w:rFonts w:asciiTheme="minorHAnsi" w:eastAsiaTheme="minorEastAsia" w:hAnsiTheme="minorHAnsi" w:cstheme="minorBidi"/>
          <w:caps w:val="0"/>
          <w:noProof/>
          <w:kern w:val="2"/>
          <w:szCs w:val="24"/>
          <w:lang w:val="en-US"/>
          <w14:ligatures w14:val="standardContextual"/>
        </w:rPr>
      </w:pPr>
      <w:hyperlink w:anchor="_Toc243470587" w:history="1">
        <w:r w:rsidRPr="00495FD9">
          <w:rPr>
            <w:rStyle w:val="Hyperlink"/>
            <w:noProof/>
          </w:rPr>
          <w:t>2.2 Risco de mercado em uma carteira do agronegócio brasileiro</w:t>
        </w:r>
        <w:r>
          <w:rPr>
            <w:noProof/>
            <w:webHidden/>
          </w:rPr>
          <w:tab/>
        </w:r>
        <w:r>
          <w:rPr>
            <w:noProof/>
            <w:webHidden/>
          </w:rPr>
          <w:fldChar w:fldCharType="begin"/>
        </w:r>
        <w:r>
          <w:rPr>
            <w:noProof/>
            <w:webHidden/>
          </w:rPr>
          <w:instrText xml:space="preserve"> PAGEREF _Toc243470587 \h </w:instrText>
        </w:r>
        <w:r>
          <w:rPr>
            <w:noProof/>
            <w:webHidden/>
          </w:rPr>
        </w:r>
        <w:r>
          <w:rPr>
            <w:noProof/>
            <w:webHidden/>
          </w:rPr>
          <w:fldChar w:fldCharType="separate"/>
        </w:r>
        <w:r>
          <w:rPr>
            <w:noProof/>
            <w:webHidden/>
          </w:rPr>
          <w:t>8</w:t>
        </w:r>
        <w:r>
          <w:rPr>
            <w:noProof/>
            <w:webHidden/>
          </w:rPr>
          <w:fldChar w:fldCharType="end"/>
        </w:r>
      </w:hyperlink>
    </w:p>
    <w:p w14:paraId="2915252D" w14:textId="05914005" w:rsidR="001D15FC" w:rsidRDefault="001D15FC">
      <w:pPr>
        <w:pStyle w:val="TOC3"/>
        <w:rPr>
          <w:rFonts w:asciiTheme="minorHAnsi" w:eastAsiaTheme="minorEastAsia" w:hAnsiTheme="minorHAnsi" w:cstheme="minorBidi"/>
          <w:noProof/>
          <w:kern w:val="2"/>
          <w:szCs w:val="24"/>
          <w:lang w:val="en-US"/>
          <w14:ligatures w14:val="standardContextual"/>
        </w:rPr>
      </w:pPr>
      <w:hyperlink w:anchor="_Toc243470588" w:history="1">
        <w:r w:rsidRPr="00495FD9">
          <w:rPr>
            <w:rStyle w:val="Hyperlink"/>
            <w:noProof/>
          </w:rPr>
          <w:t>2.2.1 Exposições a commodities, ações e câmbio</w:t>
        </w:r>
        <w:r>
          <w:rPr>
            <w:noProof/>
            <w:webHidden/>
          </w:rPr>
          <w:tab/>
        </w:r>
        <w:r>
          <w:rPr>
            <w:noProof/>
            <w:webHidden/>
          </w:rPr>
          <w:fldChar w:fldCharType="begin"/>
        </w:r>
        <w:r>
          <w:rPr>
            <w:noProof/>
            <w:webHidden/>
          </w:rPr>
          <w:instrText xml:space="preserve"> PAGEREF _Toc243470588 \h </w:instrText>
        </w:r>
        <w:r>
          <w:rPr>
            <w:noProof/>
            <w:webHidden/>
          </w:rPr>
        </w:r>
        <w:r>
          <w:rPr>
            <w:noProof/>
            <w:webHidden/>
          </w:rPr>
          <w:fldChar w:fldCharType="separate"/>
        </w:r>
        <w:r>
          <w:rPr>
            <w:noProof/>
            <w:webHidden/>
          </w:rPr>
          <w:t>8</w:t>
        </w:r>
        <w:r>
          <w:rPr>
            <w:noProof/>
            <w:webHidden/>
          </w:rPr>
          <w:fldChar w:fldCharType="end"/>
        </w:r>
      </w:hyperlink>
    </w:p>
    <w:p w14:paraId="2B3FED64" w14:textId="48891F3B" w:rsidR="001D15FC" w:rsidRDefault="001D15FC">
      <w:pPr>
        <w:pStyle w:val="TOC3"/>
        <w:rPr>
          <w:rFonts w:asciiTheme="minorHAnsi" w:eastAsiaTheme="minorEastAsia" w:hAnsiTheme="minorHAnsi" w:cstheme="minorBidi"/>
          <w:noProof/>
          <w:kern w:val="2"/>
          <w:szCs w:val="24"/>
          <w:lang w:val="en-US"/>
          <w14:ligatures w14:val="standardContextual"/>
        </w:rPr>
      </w:pPr>
      <w:hyperlink w:anchor="_Toc243470589" w:history="1">
        <w:r w:rsidRPr="00495FD9">
          <w:rPr>
            <w:rStyle w:val="Hyperlink"/>
            <w:noProof/>
          </w:rPr>
          <w:t>2.2.2 Contratos futuros, séries contínuas e mercado físico</w:t>
        </w:r>
        <w:r>
          <w:rPr>
            <w:noProof/>
            <w:webHidden/>
          </w:rPr>
          <w:tab/>
        </w:r>
        <w:r>
          <w:rPr>
            <w:noProof/>
            <w:webHidden/>
          </w:rPr>
          <w:fldChar w:fldCharType="begin"/>
        </w:r>
        <w:r>
          <w:rPr>
            <w:noProof/>
            <w:webHidden/>
          </w:rPr>
          <w:instrText xml:space="preserve"> PAGEREF _Toc243470589 \h </w:instrText>
        </w:r>
        <w:r>
          <w:rPr>
            <w:noProof/>
            <w:webHidden/>
          </w:rPr>
        </w:r>
        <w:r>
          <w:rPr>
            <w:noProof/>
            <w:webHidden/>
          </w:rPr>
          <w:fldChar w:fldCharType="separate"/>
        </w:r>
        <w:r>
          <w:rPr>
            <w:noProof/>
            <w:webHidden/>
          </w:rPr>
          <w:t>9</w:t>
        </w:r>
        <w:r>
          <w:rPr>
            <w:noProof/>
            <w:webHidden/>
          </w:rPr>
          <w:fldChar w:fldCharType="end"/>
        </w:r>
      </w:hyperlink>
    </w:p>
    <w:p w14:paraId="4E82D817" w14:textId="7932C576" w:rsidR="001D15FC" w:rsidRDefault="001D15FC">
      <w:pPr>
        <w:pStyle w:val="TOC2"/>
        <w:rPr>
          <w:rFonts w:asciiTheme="minorHAnsi" w:eastAsiaTheme="minorEastAsia" w:hAnsiTheme="minorHAnsi" w:cstheme="minorBidi"/>
          <w:caps w:val="0"/>
          <w:noProof/>
          <w:kern w:val="2"/>
          <w:szCs w:val="24"/>
          <w:lang w:val="en-US"/>
          <w14:ligatures w14:val="standardContextual"/>
        </w:rPr>
      </w:pPr>
      <w:hyperlink w:anchor="_Toc243470590" w:history="1">
        <w:r w:rsidRPr="00495FD9">
          <w:rPr>
            <w:rStyle w:val="Hyperlink"/>
            <w:noProof/>
          </w:rPr>
          <w:t>2.3 Retornos, volatilidade e informação de mercado</w:t>
        </w:r>
        <w:r>
          <w:rPr>
            <w:noProof/>
            <w:webHidden/>
          </w:rPr>
          <w:tab/>
        </w:r>
        <w:r>
          <w:rPr>
            <w:noProof/>
            <w:webHidden/>
          </w:rPr>
          <w:fldChar w:fldCharType="begin"/>
        </w:r>
        <w:r>
          <w:rPr>
            <w:noProof/>
            <w:webHidden/>
          </w:rPr>
          <w:instrText xml:space="preserve"> PAGEREF _Toc243470590 \h </w:instrText>
        </w:r>
        <w:r>
          <w:rPr>
            <w:noProof/>
            <w:webHidden/>
          </w:rPr>
        </w:r>
        <w:r>
          <w:rPr>
            <w:noProof/>
            <w:webHidden/>
          </w:rPr>
          <w:fldChar w:fldCharType="separate"/>
        </w:r>
        <w:r>
          <w:rPr>
            <w:noProof/>
            <w:webHidden/>
          </w:rPr>
          <w:t>10</w:t>
        </w:r>
        <w:r>
          <w:rPr>
            <w:noProof/>
            <w:webHidden/>
          </w:rPr>
          <w:fldChar w:fldCharType="end"/>
        </w:r>
      </w:hyperlink>
    </w:p>
    <w:p w14:paraId="0CA8BE21" w14:textId="23E13440" w:rsidR="001D15FC" w:rsidRDefault="001D15FC">
      <w:pPr>
        <w:pStyle w:val="TOC3"/>
        <w:rPr>
          <w:rFonts w:asciiTheme="minorHAnsi" w:eastAsiaTheme="minorEastAsia" w:hAnsiTheme="minorHAnsi" w:cstheme="minorBidi"/>
          <w:noProof/>
          <w:kern w:val="2"/>
          <w:szCs w:val="24"/>
          <w:lang w:val="en-US"/>
          <w14:ligatures w14:val="standardContextual"/>
        </w:rPr>
      </w:pPr>
      <w:hyperlink w:anchor="_Toc243470591" w:history="1">
        <w:r w:rsidRPr="00495FD9">
          <w:rPr>
            <w:rStyle w:val="Hyperlink"/>
            <w:noProof/>
          </w:rPr>
          <w:t>2.3.1 Retorno da carteira e fatos estilizados</w:t>
        </w:r>
        <w:r>
          <w:rPr>
            <w:noProof/>
            <w:webHidden/>
          </w:rPr>
          <w:tab/>
        </w:r>
        <w:r>
          <w:rPr>
            <w:noProof/>
            <w:webHidden/>
          </w:rPr>
          <w:fldChar w:fldCharType="begin"/>
        </w:r>
        <w:r>
          <w:rPr>
            <w:noProof/>
            <w:webHidden/>
          </w:rPr>
          <w:instrText xml:space="preserve"> PAGEREF _Toc243470591 \h </w:instrText>
        </w:r>
        <w:r>
          <w:rPr>
            <w:noProof/>
            <w:webHidden/>
          </w:rPr>
        </w:r>
        <w:r>
          <w:rPr>
            <w:noProof/>
            <w:webHidden/>
          </w:rPr>
          <w:fldChar w:fldCharType="separate"/>
        </w:r>
        <w:r>
          <w:rPr>
            <w:noProof/>
            <w:webHidden/>
          </w:rPr>
          <w:t>10</w:t>
        </w:r>
        <w:r>
          <w:rPr>
            <w:noProof/>
            <w:webHidden/>
          </w:rPr>
          <w:fldChar w:fldCharType="end"/>
        </w:r>
      </w:hyperlink>
    </w:p>
    <w:p w14:paraId="4092AE50" w14:textId="0155CEFD" w:rsidR="001D15FC" w:rsidRDefault="001D15FC">
      <w:pPr>
        <w:pStyle w:val="TOC3"/>
        <w:rPr>
          <w:rFonts w:asciiTheme="minorHAnsi" w:eastAsiaTheme="minorEastAsia" w:hAnsiTheme="minorHAnsi" w:cstheme="minorBidi"/>
          <w:noProof/>
          <w:kern w:val="2"/>
          <w:szCs w:val="24"/>
          <w:lang w:val="en-US"/>
          <w14:ligatures w14:val="standardContextual"/>
        </w:rPr>
      </w:pPr>
      <w:hyperlink w:anchor="_Toc243470592" w:history="1">
        <w:r w:rsidRPr="00495FD9">
          <w:rPr>
            <w:rStyle w:val="Hyperlink"/>
            <w:noProof/>
          </w:rPr>
          <w:t>2.3.2 Volatilidade condicional e medidas auxiliares</w:t>
        </w:r>
        <w:r>
          <w:rPr>
            <w:noProof/>
            <w:webHidden/>
          </w:rPr>
          <w:tab/>
        </w:r>
        <w:r>
          <w:rPr>
            <w:noProof/>
            <w:webHidden/>
          </w:rPr>
          <w:fldChar w:fldCharType="begin"/>
        </w:r>
        <w:r>
          <w:rPr>
            <w:noProof/>
            <w:webHidden/>
          </w:rPr>
          <w:instrText xml:space="preserve"> PAGEREF _Toc243470592 \h </w:instrText>
        </w:r>
        <w:r>
          <w:rPr>
            <w:noProof/>
            <w:webHidden/>
          </w:rPr>
        </w:r>
        <w:r>
          <w:rPr>
            <w:noProof/>
            <w:webHidden/>
          </w:rPr>
          <w:fldChar w:fldCharType="separate"/>
        </w:r>
        <w:r>
          <w:rPr>
            <w:noProof/>
            <w:webHidden/>
          </w:rPr>
          <w:t>11</w:t>
        </w:r>
        <w:r>
          <w:rPr>
            <w:noProof/>
            <w:webHidden/>
          </w:rPr>
          <w:fldChar w:fldCharType="end"/>
        </w:r>
      </w:hyperlink>
    </w:p>
    <w:p w14:paraId="563600FD" w14:textId="18BFBD71" w:rsidR="001D15FC" w:rsidRDefault="001D15FC">
      <w:pPr>
        <w:pStyle w:val="TOC2"/>
        <w:rPr>
          <w:rFonts w:asciiTheme="minorHAnsi" w:eastAsiaTheme="minorEastAsia" w:hAnsiTheme="minorHAnsi" w:cstheme="minorBidi"/>
          <w:caps w:val="0"/>
          <w:noProof/>
          <w:kern w:val="2"/>
          <w:szCs w:val="24"/>
          <w:lang w:val="en-US"/>
          <w14:ligatures w14:val="standardContextual"/>
        </w:rPr>
      </w:pPr>
      <w:hyperlink w:anchor="_Toc243470593" w:history="1">
        <w:r w:rsidRPr="00495FD9">
          <w:rPr>
            <w:rStyle w:val="Hyperlink"/>
            <w:noProof/>
          </w:rPr>
          <w:t>2.4 Value at Risk, Expected Shortfall e risco de cauda</w:t>
        </w:r>
        <w:r>
          <w:rPr>
            <w:noProof/>
            <w:webHidden/>
          </w:rPr>
          <w:tab/>
        </w:r>
        <w:r>
          <w:rPr>
            <w:noProof/>
            <w:webHidden/>
          </w:rPr>
          <w:fldChar w:fldCharType="begin"/>
        </w:r>
        <w:r>
          <w:rPr>
            <w:noProof/>
            <w:webHidden/>
          </w:rPr>
          <w:instrText xml:space="preserve"> PAGEREF _Toc243470593 \h </w:instrText>
        </w:r>
        <w:r>
          <w:rPr>
            <w:noProof/>
            <w:webHidden/>
          </w:rPr>
        </w:r>
        <w:r>
          <w:rPr>
            <w:noProof/>
            <w:webHidden/>
          </w:rPr>
          <w:fldChar w:fldCharType="separate"/>
        </w:r>
        <w:r>
          <w:rPr>
            <w:noProof/>
            <w:webHidden/>
          </w:rPr>
          <w:t>12</w:t>
        </w:r>
        <w:r>
          <w:rPr>
            <w:noProof/>
            <w:webHidden/>
          </w:rPr>
          <w:fldChar w:fldCharType="end"/>
        </w:r>
      </w:hyperlink>
    </w:p>
    <w:p w14:paraId="70D0C026" w14:textId="5B054BB7" w:rsidR="001D15FC" w:rsidRDefault="001D15FC">
      <w:pPr>
        <w:pStyle w:val="TOC3"/>
        <w:rPr>
          <w:rFonts w:asciiTheme="minorHAnsi" w:eastAsiaTheme="minorEastAsia" w:hAnsiTheme="minorHAnsi" w:cstheme="minorBidi"/>
          <w:noProof/>
          <w:kern w:val="2"/>
          <w:szCs w:val="24"/>
          <w:lang w:val="en-US"/>
          <w14:ligatures w14:val="standardContextual"/>
        </w:rPr>
      </w:pPr>
      <w:hyperlink w:anchor="_Toc243470594" w:history="1">
        <w:r w:rsidRPr="00495FD9">
          <w:rPr>
            <w:rStyle w:val="Hyperlink"/>
            <w:noProof/>
          </w:rPr>
          <w:t>2.4.1 Definição das medidas e interpretação da perda</w:t>
        </w:r>
        <w:r>
          <w:rPr>
            <w:noProof/>
            <w:webHidden/>
          </w:rPr>
          <w:tab/>
        </w:r>
        <w:r>
          <w:rPr>
            <w:noProof/>
            <w:webHidden/>
          </w:rPr>
          <w:fldChar w:fldCharType="begin"/>
        </w:r>
        <w:r>
          <w:rPr>
            <w:noProof/>
            <w:webHidden/>
          </w:rPr>
          <w:instrText xml:space="preserve"> PAGEREF _Toc243470594 \h </w:instrText>
        </w:r>
        <w:r>
          <w:rPr>
            <w:noProof/>
            <w:webHidden/>
          </w:rPr>
        </w:r>
        <w:r>
          <w:rPr>
            <w:noProof/>
            <w:webHidden/>
          </w:rPr>
          <w:fldChar w:fldCharType="separate"/>
        </w:r>
        <w:r>
          <w:rPr>
            <w:noProof/>
            <w:webHidden/>
          </w:rPr>
          <w:t>12</w:t>
        </w:r>
        <w:r>
          <w:rPr>
            <w:noProof/>
            <w:webHidden/>
          </w:rPr>
          <w:fldChar w:fldCharType="end"/>
        </w:r>
      </w:hyperlink>
    </w:p>
    <w:p w14:paraId="136874A2" w14:textId="47942D3D" w:rsidR="001D15FC" w:rsidRDefault="001D15FC">
      <w:pPr>
        <w:pStyle w:val="TOC3"/>
        <w:rPr>
          <w:rFonts w:asciiTheme="minorHAnsi" w:eastAsiaTheme="minorEastAsia" w:hAnsiTheme="minorHAnsi" w:cstheme="minorBidi"/>
          <w:noProof/>
          <w:kern w:val="2"/>
          <w:szCs w:val="24"/>
          <w:lang w:val="en-US"/>
          <w14:ligatures w14:val="standardContextual"/>
        </w:rPr>
      </w:pPr>
      <w:hyperlink w:anchor="_Toc243470595" w:history="1">
        <w:r w:rsidRPr="00495FD9">
          <w:rPr>
            <w:rStyle w:val="Hyperlink"/>
            <w:noProof/>
          </w:rPr>
          <w:t>2.4.2 Formas de estimação e informação disponível na cauda</w:t>
        </w:r>
        <w:r>
          <w:rPr>
            <w:noProof/>
            <w:webHidden/>
          </w:rPr>
          <w:tab/>
        </w:r>
        <w:r>
          <w:rPr>
            <w:noProof/>
            <w:webHidden/>
          </w:rPr>
          <w:fldChar w:fldCharType="begin"/>
        </w:r>
        <w:r>
          <w:rPr>
            <w:noProof/>
            <w:webHidden/>
          </w:rPr>
          <w:instrText xml:space="preserve"> PAGEREF _Toc243470595 \h </w:instrText>
        </w:r>
        <w:r>
          <w:rPr>
            <w:noProof/>
            <w:webHidden/>
          </w:rPr>
        </w:r>
        <w:r>
          <w:rPr>
            <w:noProof/>
            <w:webHidden/>
          </w:rPr>
          <w:fldChar w:fldCharType="separate"/>
        </w:r>
        <w:r>
          <w:rPr>
            <w:noProof/>
            <w:webHidden/>
          </w:rPr>
          <w:t>13</w:t>
        </w:r>
        <w:r>
          <w:rPr>
            <w:noProof/>
            <w:webHidden/>
          </w:rPr>
          <w:fldChar w:fldCharType="end"/>
        </w:r>
      </w:hyperlink>
    </w:p>
    <w:p w14:paraId="294F2406" w14:textId="5F3204FC" w:rsidR="001D15FC" w:rsidRDefault="001D15FC">
      <w:pPr>
        <w:pStyle w:val="TOC2"/>
        <w:rPr>
          <w:rFonts w:asciiTheme="minorHAnsi" w:eastAsiaTheme="minorEastAsia" w:hAnsiTheme="minorHAnsi" w:cstheme="minorBidi"/>
          <w:caps w:val="0"/>
          <w:noProof/>
          <w:kern w:val="2"/>
          <w:szCs w:val="24"/>
          <w:lang w:val="en-US"/>
          <w14:ligatures w14:val="standardContextual"/>
        </w:rPr>
      </w:pPr>
      <w:hyperlink w:anchor="_Toc243470596" w:history="1">
        <w:r w:rsidRPr="00495FD9">
          <w:rPr>
            <w:rStyle w:val="Hyperlink"/>
            <w:noProof/>
          </w:rPr>
          <w:t>2.5 Mudanças de regime e Hidden Markov Models</w:t>
        </w:r>
        <w:r>
          <w:rPr>
            <w:noProof/>
            <w:webHidden/>
          </w:rPr>
          <w:tab/>
        </w:r>
        <w:r>
          <w:rPr>
            <w:noProof/>
            <w:webHidden/>
          </w:rPr>
          <w:fldChar w:fldCharType="begin"/>
        </w:r>
        <w:r>
          <w:rPr>
            <w:noProof/>
            <w:webHidden/>
          </w:rPr>
          <w:instrText xml:space="preserve"> PAGEREF _Toc243470596 \h </w:instrText>
        </w:r>
        <w:r>
          <w:rPr>
            <w:noProof/>
            <w:webHidden/>
          </w:rPr>
        </w:r>
        <w:r>
          <w:rPr>
            <w:noProof/>
            <w:webHidden/>
          </w:rPr>
          <w:fldChar w:fldCharType="separate"/>
        </w:r>
        <w:r>
          <w:rPr>
            <w:noProof/>
            <w:webHidden/>
          </w:rPr>
          <w:t>14</w:t>
        </w:r>
        <w:r>
          <w:rPr>
            <w:noProof/>
            <w:webHidden/>
          </w:rPr>
          <w:fldChar w:fldCharType="end"/>
        </w:r>
      </w:hyperlink>
    </w:p>
    <w:p w14:paraId="5C25C45B" w14:textId="2814087B" w:rsidR="001D15FC" w:rsidRDefault="001D15FC">
      <w:pPr>
        <w:pStyle w:val="TOC2"/>
        <w:rPr>
          <w:rFonts w:asciiTheme="minorHAnsi" w:eastAsiaTheme="minorEastAsia" w:hAnsiTheme="minorHAnsi" w:cstheme="minorBidi"/>
          <w:caps w:val="0"/>
          <w:noProof/>
          <w:kern w:val="2"/>
          <w:szCs w:val="24"/>
          <w:lang w:val="en-US"/>
          <w14:ligatures w14:val="standardContextual"/>
        </w:rPr>
      </w:pPr>
      <w:hyperlink w:anchor="_Toc243470597" w:history="1">
        <w:r w:rsidRPr="00495FD9">
          <w:rPr>
            <w:rStyle w:val="Hyperlink"/>
            <w:noProof/>
          </w:rPr>
          <w:t>2.6 Modelos MS-GARCH como referência econométrica</w:t>
        </w:r>
        <w:r>
          <w:rPr>
            <w:noProof/>
            <w:webHidden/>
          </w:rPr>
          <w:tab/>
        </w:r>
        <w:r>
          <w:rPr>
            <w:noProof/>
            <w:webHidden/>
          </w:rPr>
          <w:fldChar w:fldCharType="begin"/>
        </w:r>
        <w:r>
          <w:rPr>
            <w:noProof/>
            <w:webHidden/>
          </w:rPr>
          <w:instrText xml:space="preserve"> PAGEREF _Toc243470597 \h </w:instrText>
        </w:r>
        <w:r>
          <w:rPr>
            <w:noProof/>
            <w:webHidden/>
          </w:rPr>
        </w:r>
        <w:r>
          <w:rPr>
            <w:noProof/>
            <w:webHidden/>
          </w:rPr>
          <w:fldChar w:fldCharType="separate"/>
        </w:r>
        <w:r>
          <w:rPr>
            <w:noProof/>
            <w:webHidden/>
          </w:rPr>
          <w:t>15</w:t>
        </w:r>
        <w:r>
          <w:rPr>
            <w:noProof/>
            <w:webHidden/>
          </w:rPr>
          <w:fldChar w:fldCharType="end"/>
        </w:r>
      </w:hyperlink>
    </w:p>
    <w:p w14:paraId="2FEAD085" w14:textId="532F5D98" w:rsidR="001D15FC" w:rsidRDefault="001D15FC">
      <w:pPr>
        <w:pStyle w:val="TOC2"/>
        <w:rPr>
          <w:rFonts w:asciiTheme="minorHAnsi" w:eastAsiaTheme="minorEastAsia" w:hAnsiTheme="minorHAnsi" w:cstheme="minorBidi"/>
          <w:caps w:val="0"/>
          <w:noProof/>
          <w:kern w:val="2"/>
          <w:szCs w:val="24"/>
          <w:lang w:val="en-US"/>
          <w14:ligatures w14:val="standardContextual"/>
        </w:rPr>
      </w:pPr>
      <w:hyperlink w:anchor="_Toc243470598" w:history="1">
        <w:r w:rsidRPr="00495FD9">
          <w:rPr>
            <w:rStyle w:val="Hyperlink"/>
            <w:noProof/>
          </w:rPr>
          <w:t>2.7 Redes LSTM e modelos híbridos em finanças</w:t>
        </w:r>
        <w:r>
          <w:rPr>
            <w:noProof/>
            <w:webHidden/>
          </w:rPr>
          <w:tab/>
        </w:r>
        <w:r>
          <w:rPr>
            <w:noProof/>
            <w:webHidden/>
          </w:rPr>
          <w:fldChar w:fldCharType="begin"/>
        </w:r>
        <w:r>
          <w:rPr>
            <w:noProof/>
            <w:webHidden/>
          </w:rPr>
          <w:instrText xml:space="preserve"> PAGEREF _Toc243470598 \h </w:instrText>
        </w:r>
        <w:r>
          <w:rPr>
            <w:noProof/>
            <w:webHidden/>
          </w:rPr>
        </w:r>
        <w:r>
          <w:rPr>
            <w:noProof/>
            <w:webHidden/>
          </w:rPr>
          <w:fldChar w:fldCharType="separate"/>
        </w:r>
        <w:r>
          <w:rPr>
            <w:noProof/>
            <w:webHidden/>
          </w:rPr>
          <w:t>16</w:t>
        </w:r>
        <w:r>
          <w:rPr>
            <w:noProof/>
            <w:webHidden/>
          </w:rPr>
          <w:fldChar w:fldCharType="end"/>
        </w:r>
      </w:hyperlink>
    </w:p>
    <w:p w14:paraId="5E4E42A6" w14:textId="6BC552DC" w:rsidR="001D15FC" w:rsidRDefault="001D15FC">
      <w:pPr>
        <w:pStyle w:val="TOC3"/>
        <w:rPr>
          <w:rFonts w:asciiTheme="minorHAnsi" w:eastAsiaTheme="minorEastAsia" w:hAnsiTheme="minorHAnsi" w:cstheme="minorBidi"/>
          <w:noProof/>
          <w:kern w:val="2"/>
          <w:szCs w:val="24"/>
          <w:lang w:val="en-US"/>
          <w14:ligatures w14:val="standardContextual"/>
        </w:rPr>
      </w:pPr>
      <w:hyperlink w:anchor="_Toc243470599" w:history="1">
        <w:r w:rsidRPr="00495FD9">
          <w:rPr>
            <w:rStyle w:val="Hyperlink"/>
            <w:noProof/>
          </w:rPr>
          <w:t>2.7.1 Aprendizado temporal e objeto da previsão</w:t>
        </w:r>
        <w:r>
          <w:rPr>
            <w:noProof/>
            <w:webHidden/>
          </w:rPr>
          <w:tab/>
        </w:r>
        <w:r>
          <w:rPr>
            <w:noProof/>
            <w:webHidden/>
          </w:rPr>
          <w:fldChar w:fldCharType="begin"/>
        </w:r>
        <w:r>
          <w:rPr>
            <w:noProof/>
            <w:webHidden/>
          </w:rPr>
          <w:instrText xml:space="preserve"> PAGEREF _Toc243470599 \h </w:instrText>
        </w:r>
        <w:r>
          <w:rPr>
            <w:noProof/>
            <w:webHidden/>
          </w:rPr>
        </w:r>
        <w:r>
          <w:rPr>
            <w:noProof/>
            <w:webHidden/>
          </w:rPr>
          <w:fldChar w:fldCharType="separate"/>
        </w:r>
        <w:r>
          <w:rPr>
            <w:noProof/>
            <w:webHidden/>
          </w:rPr>
          <w:t>16</w:t>
        </w:r>
        <w:r>
          <w:rPr>
            <w:noProof/>
            <w:webHidden/>
          </w:rPr>
          <w:fldChar w:fldCharType="end"/>
        </w:r>
      </w:hyperlink>
    </w:p>
    <w:p w14:paraId="7B5FCD51" w14:textId="45BEA660" w:rsidR="001D15FC" w:rsidRDefault="001D15FC">
      <w:pPr>
        <w:pStyle w:val="TOC3"/>
        <w:rPr>
          <w:rFonts w:asciiTheme="minorHAnsi" w:eastAsiaTheme="minorEastAsia" w:hAnsiTheme="minorHAnsi" w:cstheme="minorBidi"/>
          <w:noProof/>
          <w:kern w:val="2"/>
          <w:szCs w:val="24"/>
          <w:lang w:val="en-US"/>
          <w14:ligatures w14:val="standardContextual"/>
        </w:rPr>
      </w:pPr>
      <w:hyperlink w:anchor="_Toc243470600" w:history="1">
        <w:r w:rsidRPr="00495FD9">
          <w:rPr>
            <w:rStyle w:val="Hyperlink"/>
            <w:noProof/>
          </w:rPr>
          <w:t>2.7.2 Evidências empíricas e limites de transferência</w:t>
        </w:r>
        <w:r>
          <w:rPr>
            <w:noProof/>
            <w:webHidden/>
          </w:rPr>
          <w:tab/>
        </w:r>
        <w:r>
          <w:rPr>
            <w:noProof/>
            <w:webHidden/>
          </w:rPr>
          <w:fldChar w:fldCharType="begin"/>
        </w:r>
        <w:r>
          <w:rPr>
            <w:noProof/>
            <w:webHidden/>
          </w:rPr>
          <w:instrText xml:space="preserve"> PAGEREF _Toc243470600 \h </w:instrText>
        </w:r>
        <w:r>
          <w:rPr>
            <w:noProof/>
            <w:webHidden/>
          </w:rPr>
        </w:r>
        <w:r>
          <w:rPr>
            <w:noProof/>
            <w:webHidden/>
          </w:rPr>
          <w:fldChar w:fldCharType="separate"/>
        </w:r>
        <w:r>
          <w:rPr>
            <w:noProof/>
            <w:webHidden/>
          </w:rPr>
          <w:t>17</w:t>
        </w:r>
        <w:r>
          <w:rPr>
            <w:noProof/>
            <w:webHidden/>
          </w:rPr>
          <w:fldChar w:fldCharType="end"/>
        </w:r>
      </w:hyperlink>
    </w:p>
    <w:p w14:paraId="255495A9" w14:textId="5A141898" w:rsidR="001D15FC" w:rsidRDefault="001D15FC">
      <w:pPr>
        <w:pStyle w:val="TOC2"/>
        <w:rPr>
          <w:rFonts w:asciiTheme="minorHAnsi" w:eastAsiaTheme="minorEastAsia" w:hAnsiTheme="minorHAnsi" w:cstheme="minorBidi"/>
          <w:caps w:val="0"/>
          <w:noProof/>
          <w:kern w:val="2"/>
          <w:szCs w:val="24"/>
          <w:lang w:val="en-US"/>
          <w14:ligatures w14:val="standardContextual"/>
        </w:rPr>
      </w:pPr>
      <w:hyperlink w:anchor="_Toc243470601" w:history="1">
        <w:r w:rsidRPr="00495FD9">
          <w:rPr>
            <w:rStyle w:val="Hyperlink"/>
            <w:noProof/>
          </w:rPr>
          <w:t>2.8 Incerteza preditiva e Monte Carlo Dropout</w:t>
        </w:r>
        <w:r>
          <w:rPr>
            <w:noProof/>
            <w:webHidden/>
          </w:rPr>
          <w:tab/>
        </w:r>
        <w:r>
          <w:rPr>
            <w:noProof/>
            <w:webHidden/>
          </w:rPr>
          <w:fldChar w:fldCharType="begin"/>
        </w:r>
        <w:r>
          <w:rPr>
            <w:noProof/>
            <w:webHidden/>
          </w:rPr>
          <w:instrText xml:space="preserve"> PAGEREF _Toc243470601 \h </w:instrText>
        </w:r>
        <w:r>
          <w:rPr>
            <w:noProof/>
            <w:webHidden/>
          </w:rPr>
        </w:r>
        <w:r>
          <w:rPr>
            <w:noProof/>
            <w:webHidden/>
          </w:rPr>
          <w:fldChar w:fldCharType="separate"/>
        </w:r>
        <w:r>
          <w:rPr>
            <w:noProof/>
            <w:webHidden/>
          </w:rPr>
          <w:t>18</w:t>
        </w:r>
        <w:r>
          <w:rPr>
            <w:noProof/>
            <w:webHidden/>
          </w:rPr>
          <w:fldChar w:fldCharType="end"/>
        </w:r>
      </w:hyperlink>
    </w:p>
    <w:p w14:paraId="38FE4A57" w14:textId="3A11B2DA" w:rsidR="001D15FC" w:rsidRDefault="001D15FC">
      <w:pPr>
        <w:pStyle w:val="TOC2"/>
        <w:rPr>
          <w:rFonts w:asciiTheme="minorHAnsi" w:eastAsiaTheme="minorEastAsia" w:hAnsiTheme="minorHAnsi" w:cstheme="minorBidi"/>
          <w:caps w:val="0"/>
          <w:noProof/>
          <w:kern w:val="2"/>
          <w:szCs w:val="24"/>
          <w:lang w:val="en-US"/>
          <w14:ligatures w14:val="standardContextual"/>
        </w:rPr>
      </w:pPr>
      <w:hyperlink w:anchor="_Toc243470602" w:history="1">
        <w:r w:rsidRPr="00495FD9">
          <w:rPr>
            <w:rStyle w:val="Hyperlink"/>
            <w:noProof/>
          </w:rPr>
          <w:t>2.9 Validação temporal, backtesting e comparação das previsões</w:t>
        </w:r>
        <w:r>
          <w:rPr>
            <w:noProof/>
            <w:webHidden/>
          </w:rPr>
          <w:tab/>
        </w:r>
        <w:r>
          <w:rPr>
            <w:noProof/>
            <w:webHidden/>
          </w:rPr>
          <w:fldChar w:fldCharType="begin"/>
        </w:r>
        <w:r>
          <w:rPr>
            <w:noProof/>
            <w:webHidden/>
          </w:rPr>
          <w:instrText xml:space="preserve"> PAGEREF _Toc243470602 \h </w:instrText>
        </w:r>
        <w:r>
          <w:rPr>
            <w:noProof/>
            <w:webHidden/>
          </w:rPr>
        </w:r>
        <w:r>
          <w:rPr>
            <w:noProof/>
            <w:webHidden/>
          </w:rPr>
          <w:fldChar w:fldCharType="separate"/>
        </w:r>
        <w:r>
          <w:rPr>
            <w:noProof/>
            <w:webHidden/>
          </w:rPr>
          <w:t>19</w:t>
        </w:r>
        <w:r>
          <w:rPr>
            <w:noProof/>
            <w:webHidden/>
          </w:rPr>
          <w:fldChar w:fldCharType="end"/>
        </w:r>
      </w:hyperlink>
    </w:p>
    <w:p w14:paraId="0E76AC32" w14:textId="328A5F1B" w:rsidR="001D15FC" w:rsidRDefault="001D15FC">
      <w:pPr>
        <w:pStyle w:val="TOC3"/>
        <w:rPr>
          <w:rFonts w:asciiTheme="minorHAnsi" w:eastAsiaTheme="minorEastAsia" w:hAnsiTheme="minorHAnsi" w:cstheme="minorBidi"/>
          <w:noProof/>
          <w:kern w:val="2"/>
          <w:szCs w:val="24"/>
          <w:lang w:val="en-US"/>
          <w14:ligatures w14:val="standardContextual"/>
        </w:rPr>
      </w:pPr>
      <w:hyperlink w:anchor="_Toc243470603" w:history="1">
        <w:r w:rsidRPr="00495FD9">
          <w:rPr>
            <w:rStyle w:val="Hyperlink"/>
            <w:noProof/>
          </w:rPr>
          <w:t>2.9.1 Avaliação fora da amostra e informação disponível</w:t>
        </w:r>
        <w:r>
          <w:rPr>
            <w:noProof/>
            <w:webHidden/>
          </w:rPr>
          <w:tab/>
        </w:r>
        <w:r>
          <w:rPr>
            <w:noProof/>
            <w:webHidden/>
          </w:rPr>
          <w:fldChar w:fldCharType="begin"/>
        </w:r>
        <w:r>
          <w:rPr>
            <w:noProof/>
            <w:webHidden/>
          </w:rPr>
          <w:instrText xml:space="preserve"> PAGEREF _Toc243470603 \h </w:instrText>
        </w:r>
        <w:r>
          <w:rPr>
            <w:noProof/>
            <w:webHidden/>
          </w:rPr>
        </w:r>
        <w:r>
          <w:rPr>
            <w:noProof/>
            <w:webHidden/>
          </w:rPr>
          <w:fldChar w:fldCharType="separate"/>
        </w:r>
        <w:r>
          <w:rPr>
            <w:noProof/>
            <w:webHidden/>
          </w:rPr>
          <w:t>19</w:t>
        </w:r>
        <w:r>
          <w:rPr>
            <w:noProof/>
            <w:webHidden/>
          </w:rPr>
          <w:fldChar w:fldCharType="end"/>
        </w:r>
      </w:hyperlink>
    </w:p>
    <w:p w14:paraId="79B8C3AA" w14:textId="29CC5CF4" w:rsidR="001D15FC" w:rsidRDefault="001D15FC">
      <w:pPr>
        <w:pStyle w:val="TOC3"/>
        <w:rPr>
          <w:rFonts w:asciiTheme="minorHAnsi" w:eastAsiaTheme="minorEastAsia" w:hAnsiTheme="minorHAnsi" w:cstheme="minorBidi"/>
          <w:noProof/>
          <w:kern w:val="2"/>
          <w:szCs w:val="24"/>
          <w:lang w:val="en-US"/>
          <w14:ligatures w14:val="standardContextual"/>
        </w:rPr>
      </w:pPr>
      <w:hyperlink w:anchor="_Toc243470604" w:history="1">
        <w:r w:rsidRPr="00495FD9">
          <w:rPr>
            <w:rStyle w:val="Hyperlink"/>
            <w:noProof/>
          </w:rPr>
          <w:t>2.9.2 Cobertura, independência e severidade das perdas</w:t>
        </w:r>
        <w:r>
          <w:rPr>
            <w:noProof/>
            <w:webHidden/>
          </w:rPr>
          <w:tab/>
        </w:r>
        <w:r>
          <w:rPr>
            <w:noProof/>
            <w:webHidden/>
          </w:rPr>
          <w:fldChar w:fldCharType="begin"/>
        </w:r>
        <w:r>
          <w:rPr>
            <w:noProof/>
            <w:webHidden/>
          </w:rPr>
          <w:instrText xml:space="preserve"> PAGEREF _Toc243470604 \h </w:instrText>
        </w:r>
        <w:r>
          <w:rPr>
            <w:noProof/>
            <w:webHidden/>
          </w:rPr>
        </w:r>
        <w:r>
          <w:rPr>
            <w:noProof/>
            <w:webHidden/>
          </w:rPr>
          <w:fldChar w:fldCharType="separate"/>
        </w:r>
        <w:r>
          <w:rPr>
            <w:noProof/>
            <w:webHidden/>
          </w:rPr>
          <w:t>19</w:t>
        </w:r>
        <w:r>
          <w:rPr>
            <w:noProof/>
            <w:webHidden/>
          </w:rPr>
          <w:fldChar w:fldCharType="end"/>
        </w:r>
      </w:hyperlink>
    </w:p>
    <w:p w14:paraId="4037583A" w14:textId="2412CDAF" w:rsidR="001D15FC" w:rsidRDefault="001D15FC">
      <w:pPr>
        <w:pStyle w:val="TOC3"/>
        <w:rPr>
          <w:rFonts w:asciiTheme="minorHAnsi" w:eastAsiaTheme="minorEastAsia" w:hAnsiTheme="minorHAnsi" w:cstheme="minorBidi"/>
          <w:noProof/>
          <w:kern w:val="2"/>
          <w:szCs w:val="24"/>
          <w:lang w:val="en-US"/>
          <w14:ligatures w14:val="standardContextual"/>
        </w:rPr>
      </w:pPr>
      <w:hyperlink w:anchor="_Toc243470605" w:history="1">
        <w:r w:rsidRPr="00495FD9">
          <w:rPr>
            <w:rStyle w:val="Hyperlink"/>
            <w:noProof/>
          </w:rPr>
          <w:t>2.9.3 Comparação preditiva e interpretação das hipóteses</w:t>
        </w:r>
        <w:r>
          <w:rPr>
            <w:noProof/>
            <w:webHidden/>
          </w:rPr>
          <w:tab/>
        </w:r>
        <w:r>
          <w:rPr>
            <w:noProof/>
            <w:webHidden/>
          </w:rPr>
          <w:fldChar w:fldCharType="begin"/>
        </w:r>
        <w:r>
          <w:rPr>
            <w:noProof/>
            <w:webHidden/>
          </w:rPr>
          <w:instrText xml:space="preserve"> PAGEREF _Toc243470605 \h </w:instrText>
        </w:r>
        <w:r>
          <w:rPr>
            <w:noProof/>
            <w:webHidden/>
          </w:rPr>
        </w:r>
        <w:r>
          <w:rPr>
            <w:noProof/>
            <w:webHidden/>
          </w:rPr>
          <w:fldChar w:fldCharType="separate"/>
        </w:r>
        <w:r>
          <w:rPr>
            <w:noProof/>
            <w:webHidden/>
          </w:rPr>
          <w:t>20</w:t>
        </w:r>
        <w:r>
          <w:rPr>
            <w:noProof/>
            <w:webHidden/>
          </w:rPr>
          <w:fldChar w:fldCharType="end"/>
        </w:r>
      </w:hyperlink>
    </w:p>
    <w:p w14:paraId="2640927F" w14:textId="67363A0D" w:rsidR="001D15FC" w:rsidRDefault="001D15FC">
      <w:pPr>
        <w:pStyle w:val="TOC2"/>
        <w:rPr>
          <w:rFonts w:asciiTheme="minorHAnsi" w:eastAsiaTheme="minorEastAsia" w:hAnsiTheme="minorHAnsi" w:cstheme="minorBidi"/>
          <w:caps w:val="0"/>
          <w:noProof/>
          <w:kern w:val="2"/>
          <w:szCs w:val="24"/>
          <w:lang w:val="en-US"/>
          <w14:ligatures w14:val="standardContextual"/>
        </w:rPr>
      </w:pPr>
      <w:hyperlink w:anchor="_Toc243470606" w:history="1">
        <w:r w:rsidRPr="00495FD9">
          <w:rPr>
            <w:rStyle w:val="Hyperlink"/>
            <w:noProof/>
          </w:rPr>
          <w:t>2.10 Interpretabilidade e limites das explicações</w:t>
        </w:r>
        <w:r>
          <w:rPr>
            <w:noProof/>
            <w:webHidden/>
          </w:rPr>
          <w:tab/>
        </w:r>
        <w:r>
          <w:rPr>
            <w:noProof/>
            <w:webHidden/>
          </w:rPr>
          <w:fldChar w:fldCharType="begin"/>
        </w:r>
        <w:r>
          <w:rPr>
            <w:noProof/>
            <w:webHidden/>
          </w:rPr>
          <w:instrText xml:space="preserve"> PAGEREF _Toc243470606 \h </w:instrText>
        </w:r>
        <w:r>
          <w:rPr>
            <w:noProof/>
            <w:webHidden/>
          </w:rPr>
        </w:r>
        <w:r>
          <w:rPr>
            <w:noProof/>
            <w:webHidden/>
          </w:rPr>
          <w:fldChar w:fldCharType="separate"/>
        </w:r>
        <w:r>
          <w:rPr>
            <w:noProof/>
            <w:webHidden/>
          </w:rPr>
          <w:t>21</w:t>
        </w:r>
        <w:r>
          <w:rPr>
            <w:noProof/>
            <w:webHidden/>
          </w:rPr>
          <w:fldChar w:fldCharType="end"/>
        </w:r>
      </w:hyperlink>
    </w:p>
    <w:p w14:paraId="1640DB6B" w14:textId="7D67A547" w:rsidR="001D15FC" w:rsidRDefault="001D15FC">
      <w:pPr>
        <w:pStyle w:val="TOC2"/>
        <w:rPr>
          <w:rFonts w:asciiTheme="minorHAnsi" w:eastAsiaTheme="minorEastAsia" w:hAnsiTheme="minorHAnsi" w:cstheme="minorBidi"/>
          <w:caps w:val="0"/>
          <w:noProof/>
          <w:kern w:val="2"/>
          <w:szCs w:val="24"/>
          <w:lang w:val="en-US"/>
          <w14:ligatures w14:val="standardContextual"/>
        </w:rPr>
      </w:pPr>
      <w:hyperlink w:anchor="_Toc243470607" w:history="1">
        <w:r w:rsidRPr="00495FD9">
          <w:rPr>
            <w:rStyle w:val="Hyperlink"/>
            <w:noProof/>
          </w:rPr>
          <w:t>2.11 Síntese crítica e posicionamento da pesquisa</w:t>
        </w:r>
        <w:r>
          <w:rPr>
            <w:noProof/>
            <w:webHidden/>
          </w:rPr>
          <w:tab/>
        </w:r>
        <w:r>
          <w:rPr>
            <w:noProof/>
            <w:webHidden/>
          </w:rPr>
          <w:fldChar w:fldCharType="begin"/>
        </w:r>
        <w:r>
          <w:rPr>
            <w:noProof/>
            <w:webHidden/>
          </w:rPr>
          <w:instrText xml:space="preserve"> PAGEREF _Toc243470607 \h </w:instrText>
        </w:r>
        <w:r>
          <w:rPr>
            <w:noProof/>
            <w:webHidden/>
          </w:rPr>
        </w:r>
        <w:r>
          <w:rPr>
            <w:noProof/>
            <w:webHidden/>
          </w:rPr>
          <w:fldChar w:fldCharType="separate"/>
        </w:r>
        <w:r>
          <w:rPr>
            <w:noProof/>
            <w:webHidden/>
          </w:rPr>
          <w:t>21</w:t>
        </w:r>
        <w:r>
          <w:rPr>
            <w:noProof/>
            <w:webHidden/>
          </w:rPr>
          <w:fldChar w:fldCharType="end"/>
        </w:r>
      </w:hyperlink>
    </w:p>
    <w:p w14:paraId="512E6413" w14:textId="0B270CA5" w:rsidR="001D15FC" w:rsidRDefault="001D15FC">
      <w:pPr>
        <w:pStyle w:val="TOC1"/>
        <w:rPr>
          <w:rFonts w:asciiTheme="minorHAnsi" w:eastAsiaTheme="minorEastAsia" w:hAnsiTheme="minorHAnsi" w:cstheme="minorBidi"/>
          <w:b w:val="0"/>
          <w:caps w:val="0"/>
          <w:noProof/>
          <w:kern w:val="2"/>
          <w:szCs w:val="24"/>
          <w:lang w:val="en-US"/>
          <w14:ligatures w14:val="standardContextual"/>
        </w:rPr>
      </w:pPr>
      <w:hyperlink w:anchor="_Toc243470608" w:history="1">
        <w:r w:rsidRPr="00495FD9">
          <w:rPr>
            <w:rStyle w:val="Hyperlink"/>
            <w:noProof/>
          </w:rPr>
          <w:t>3 METODOLOGIA</w:t>
        </w:r>
        <w:r>
          <w:rPr>
            <w:noProof/>
            <w:webHidden/>
          </w:rPr>
          <w:tab/>
        </w:r>
        <w:r>
          <w:rPr>
            <w:noProof/>
            <w:webHidden/>
          </w:rPr>
          <w:fldChar w:fldCharType="begin"/>
        </w:r>
        <w:r>
          <w:rPr>
            <w:noProof/>
            <w:webHidden/>
          </w:rPr>
          <w:instrText xml:space="preserve"> PAGEREF _Toc243470608 \h </w:instrText>
        </w:r>
        <w:r>
          <w:rPr>
            <w:noProof/>
            <w:webHidden/>
          </w:rPr>
        </w:r>
        <w:r>
          <w:rPr>
            <w:noProof/>
            <w:webHidden/>
          </w:rPr>
          <w:fldChar w:fldCharType="separate"/>
        </w:r>
        <w:r>
          <w:rPr>
            <w:noProof/>
            <w:webHidden/>
          </w:rPr>
          <w:t>23</w:t>
        </w:r>
        <w:r>
          <w:rPr>
            <w:noProof/>
            <w:webHidden/>
          </w:rPr>
          <w:fldChar w:fldCharType="end"/>
        </w:r>
      </w:hyperlink>
    </w:p>
    <w:p w14:paraId="7BC1FC53" w14:textId="119E2612" w:rsidR="001D15FC" w:rsidRDefault="001D15FC">
      <w:pPr>
        <w:pStyle w:val="TOC2"/>
        <w:rPr>
          <w:rFonts w:asciiTheme="minorHAnsi" w:eastAsiaTheme="minorEastAsia" w:hAnsiTheme="minorHAnsi" w:cstheme="minorBidi"/>
          <w:caps w:val="0"/>
          <w:noProof/>
          <w:kern w:val="2"/>
          <w:szCs w:val="24"/>
          <w:lang w:val="en-US"/>
          <w14:ligatures w14:val="standardContextual"/>
        </w:rPr>
      </w:pPr>
      <w:hyperlink w:anchor="_Toc243470609" w:history="1">
        <w:r w:rsidRPr="00495FD9">
          <w:rPr>
            <w:rStyle w:val="Hyperlink"/>
            <w:noProof/>
          </w:rPr>
          <w:t>3.1 Universo da pesquisa e definição da exposição</w:t>
        </w:r>
        <w:r>
          <w:rPr>
            <w:noProof/>
            <w:webHidden/>
          </w:rPr>
          <w:tab/>
        </w:r>
        <w:r>
          <w:rPr>
            <w:noProof/>
            <w:webHidden/>
          </w:rPr>
          <w:fldChar w:fldCharType="begin"/>
        </w:r>
        <w:r>
          <w:rPr>
            <w:noProof/>
            <w:webHidden/>
          </w:rPr>
          <w:instrText xml:space="preserve"> PAGEREF _Toc243470609 \h </w:instrText>
        </w:r>
        <w:r>
          <w:rPr>
            <w:noProof/>
            <w:webHidden/>
          </w:rPr>
        </w:r>
        <w:r>
          <w:rPr>
            <w:noProof/>
            <w:webHidden/>
          </w:rPr>
          <w:fldChar w:fldCharType="separate"/>
        </w:r>
        <w:r>
          <w:rPr>
            <w:noProof/>
            <w:webHidden/>
          </w:rPr>
          <w:t>23</w:t>
        </w:r>
        <w:r>
          <w:rPr>
            <w:noProof/>
            <w:webHidden/>
          </w:rPr>
          <w:fldChar w:fldCharType="end"/>
        </w:r>
      </w:hyperlink>
    </w:p>
    <w:p w14:paraId="5BF9EAAC" w14:textId="29065A82" w:rsidR="001D15FC" w:rsidRDefault="001D15FC">
      <w:pPr>
        <w:pStyle w:val="TOC2"/>
        <w:rPr>
          <w:rFonts w:asciiTheme="minorHAnsi" w:eastAsiaTheme="minorEastAsia" w:hAnsiTheme="minorHAnsi" w:cstheme="minorBidi"/>
          <w:caps w:val="0"/>
          <w:noProof/>
          <w:kern w:val="2"/>
          <w:szCs w:val="24"/>
          <w:lang w:val="en-US"/>
          <w14:ligatures w14:val="standardContextual"/>
        </w:rPr>
      </w:pPr>
      <w:hyperlink w:anchor="_Toc243470610" w:history="1">
        <w:r w:rsidRPr="00495FD9">
          <w:rPr>
            <w:rStyle w:val="Hyperlink"/>
            <w:noProof/>
          </w:rPr>
          <w:t>3.2 Fontes, construção das séries e variáveis candidatas</w:t>
        </w:r>
        <w:r>
          <w:rPr>
            <w:noProof/>
            <w:webHidden/>
          </w:rPr>
          <w:tab/>
        </w:r>
        <w:r>
          <w:rPr>
            <w:noProof/>
            <w:webHidden/>
          </w:rPr>
          <w:fldChar w:fldCharType="begin"/>
        </w:r>
        <w:r>
          <w:rPr>
            <w:noProof/>
            <w:webHidden/>
          </w:rPr>
          <w:instrText xml:space="preserve"> PAGEREF _Toc243470610 \h </w:instrText>
        </w:r>
        <w:r>
          <w:rPr>
            <w:noProof/>
            <w:webHidden/>
          </w:rPr>
        </w:r>
        <w:r>
          <w:rPr>
            <w:noProof/>
            <w:webHidden/>
          </w:rPr>
          <w:fldChar w:fldCharType="separate"/>
        </w:r>
        <w:r>
          <w:rPr>
            <w:noProof/>
            <w:webHidden/>
          </w:rPr>
          <w:t>23</w:t>
        </w:r>
        <w:r>
          <w:rPr>
            <w:noProof/>
            <w:webHidden/>
          </w:rPr>
          <w:fldChar w:fldCharType="end"/>
        </w:r>
      </w:hyperlink>
    </w:p>
    <w:p w14:paraId="1DAC9F54" w14:textId="4BAA8D93" w:rsidR="001D15FC" w:rsidRDefault="001D15FC">
      <w:pPr>
        <w:pStyle w:val="TOC2"/>
        <w:rPr>
          <w:rFonts w:asciiTheme="minorHAnsi" w:eastAsiaTheme="minorEastAsia" w:hAnsiTheme="minorHAnsi" w:cstheme="minorBidi"/>
          <w:caps w:val="0"/>
          <w:noProof/>
          <w:kern w:val="2"/>
          <w:szCs w:val="24"/>
          <w:lang w:val="en-US"/>
          <w14:ligatures w14:val="standardContextual"/>
        </w:rPr>
      </w:pPr>
      <w:hyperlink w:anchor="_Toc243470611" w:history="1">
        <w:r w:rsidRPr="00495FD9">
          <w:rPr>
            <w:rStyle w:val="Hyperlink"/>
            <w:noProof/>
          </w:rPr>
          <w:t>3.3 Organização temporal e preparação das sequências</w:t>
        </w:r>
        <w:r>
          <w:rPr>
            <w:noProof/>
            <w:webHidden/>
          </w:rPr>
          <w:tab/>
        </w:r>
        <w:r>
          <w:rPr>
            <w:noProof/>
            <w:webHidden/>
          </w:rPr>
          <w:fldChar w:fldCharType="begin"/>
        </w:r>
        <w:r>
          <w:rPr>
            <w:noProof/>
            <w:webHidden/>
          </w:rPr>
          <w:instrText xml:space="preserve"> PAGEREF _Toc243470611 \h </w:instrText>
        </w:r>
        <w:r>
          <w:rPr>
            <w:noProof/>
            <w:webHidden/>
          </w:rPr>
        </w:r>
        <w:r>
          <w:rPr>
            <w:noProof/>
            <w:webHidden/>
          </w:rPr>
          <w:fldChar w:fldCharType="separate"/>
        </w:r>
        <w:r>
          <w:rPr>
            <w:noProof/>
            <w:webHidden/>
          </w:rPr>
          <w:t>24</w:t>
        </w:r>
        <w:r>
          <w:rPr>
            <w:noProof/>
            <w:webHidden/>
          </w:rPr>
          <w:fldChar w:fldCharType="end"/>
        </w:r>
      </w:hyperlink>
    </w:p>
    <w:p w14:paraId="02692100" w14:textId="2D096D17" w:rsidR="001D15FC" w:rsidRDefault="001D15FC">
      <w:pPr>
        <w:pStyle w:val="TOC2"/>
        <w:rPr>
          <w:rFonts w:asciiTheme="minorHAnsi" w:eastAsiaTheme="minorEastAsia" w:hAnsiTheme="minorHAnsi" w:cstheme="minorBidi"/>
          <w:caps w:val="0"/>
          <w:noProof/>
          <w:kern w:val="2"/>
          <w:szCs w:val="24"/>
          <w:lang w:val="en-US"/>
          <w14:ligatures w14:val="standardContextual"/>
        </w:rPr>
      </w:pPr>
      <w:hyperlink w:anchor="_Toc243470612" w:history="1">
        <w:r w:rsidRPr="00495FD9">
          <w:rPr>
            <w:rStyle w:val="Hyperlink"/>
            <w:noProof/>
          </w:rPr>
          <w:t>3.4 Identificação e utilização dos regimes</w:t>
        </w:r>
        <w:r>
          <w:rPr>
            <w:noProof/>
            <w:webHidden/>
          </w:rPr>
          <w:tab/>
        </w:r>
        <w:r>
          <w:rPr>
            <w:noProof/>
            <w:webHidden/>
          </w:rPr>
          <w:fldChar w:fldCharType="begin"/>
        </w:r>
        <w:r>
          <w:rPr>
            <w:noProof/>
            <w:webHidden/>
          </w:rPr>
          <w:instrText xml:space="preserve"> PAGEREF _Toc243470612 \h </w:instrText>
        </w:r>
        <w:r>
          <w:rPr>
            <w:noProof/>
            <w:webHidden/>
          </w:rPr>
        </w:r>
        <w:r>
          <w:rPr>
            <w:noProof/>
            <w:webHidden/>
          </w:rPr>
          <w:fldChar w:fldCharType="separate"/>
        </w:r>
        <w:r>
          <w:rPr>
            <w:noProof/>
            <w:webHidden/>
          </w:rPr>
          <w:t>25</w:t>
        </w:r>
        <w:r>
          <w:rPr>
            <w:noProof/>
            <w:webHidden/>
          </w:rPr>
          <w:fldChar w:fldCharType="end"/>
        </w:r>
      </w:hyperlink>
    </w:p>
    <w:p w14:paraId="1623BB6B" w14:textId="7D3662B7" w:rsidR="001D15FC" w:rsidRDefault="001D15FC">
      <w:pPr>
        <w:pStyle w:val="TOC2"/>
        <w:rPr>
          <w:rFonts w:asciiTheme="minorHAnsi" w:eastAsiaTheme="minorEastAsia" w:hAnsiTheme="minorHAnsi" w:cstheme="minorBidi"/>
          <w:caps w:val="0"/>
          <w:noProof/>
          <w:kern w:val="2"/>
          <w:szCs w:val="24"/>
          <w:lang w:val="en-US"/>
          <w14:ligatures w14:val="standardContextual"/>
        </w:rPr>
      </w:pPr>
      <w:hyperlink w:anchor="_Toc243470613" w:history="1">
        <w:r w:rsidRPr="00495FD9">
          <w:rPr>
            <w:rStyle w:val="Hyperlink"/>
            <w:noProof/>
          </w:rPr>
          <w:t>3.5 LSTM e previsão pontual do retorno</w:t>
        </w:r>
        <w:r>
          <w:rPr>
            <w:noProof/>
            <w:webHidden/>
          </w:rPr>
          <w:tab/>
        </w:r>
        <w:r>
          <w:rPr>
            <w:noProof/>
            <w:webHidden/>
          </w:rPr>
          <w:fldChar w:fldCharType="begin"/>
        </w:r>
        <w:r>
          <w:rPr>
            <w:noProof/>
            <w:webHidden/>
          </w:rPr>
          <w:instrText xml:space="preserve"> PAGEREF _Toc243470613 \h </w:instrText>
        </w:r>
        <w:r>
          <w:rPr>
            <w:noProof/>
            <w:webHidden/>
          </w:rPr>
        </w:r>
        <w:r>
          <w:rPr>
            <w:noProof/>
            <w:webHidden/>
          </w:rPr>
          <w:fldChar w:fldCharType="separate"/>
        </w:r>
        <w:r>
          <w:rPr>
            <w:noProof/>
            <w:webHidden/>
          </w:rPr>
          <w:t>25</w:t>
        </w:r>
        <w:r>
          <w:rPr>
            <w:noProof/>
            <w:webHidden/>
          </w:rPr>
          <w:fldChar w:fldCharType="end"/>
        </w:r>
      </w:hyperlink>
    </w:p>
    <w:p w14:paraId="73D9B71C" w14:textId="0DAEB088" w:rsidR="001D15FC" w:rsidRDefault="001D15FC">
      <w:pPr>
        <w:pStyle w:val="TOC2"/>
        <w:rPr>
          <w:rFonts w:asciiTheme="minorHAnsi" w:eastAsiaTheme="minorEastAsia" w:hAnsiTheme="minorHAnsi" w:cstheme="minorBidi"/>
          <w:caps w:val="0"/>
          <w:noProof/>
          <w:kern w:val="2"/>
          <w:szCs w:val="24"/>
          <w:lang w:val="en-US"/>
          <w14:ligatures w14:val="standardContextual"/>
        </w:rPr>
      </w:pPr>
      <w:hyperlink w:anchor="_Toc243470614" w:history="1">
        <w:r w:rsidRPr="00495FD9">
          <w:rPr>
            <w:rStyle w:val="Hyperlink"/>
            <w:noProof/>
          </w:rPr>
          <w:t>3.6 Incerteza, calibração e cálculo de VaR e ES</w:t>
        </w:r>
        <w:r>
          <w:rPr>
            <w:noProof/>
            <w:webHidden/>
          </w:rPr>
          <w:tab/>
        </w:r>
        <w:r>
          <w:rPr>
            <w:noProof/>
            <w:webHidden/>
          </w:rPr>
          <w:fldChar w:fldCharType="begin"/>
        </w:r>
        <w:r>
          <w:rPr>
            <w:noProof/>
            <w:webHidden/>
          </w:rPr>
          <w:instrText xml:space="preserve"> PAGEREF _Toc243470614 \h </w:instrText>
        </w:r>
        <w:r>
          <w:rPr>
            <w:noProof/>
            <w:webHidden/>
          </w:rPr>
        </w:r>
        <w:r>
          <w:rPr>
            <w:noProof/>
            <w:webHidden/>
          </w:rPr>
          <w:fldChar w:fldCharType="separate"/>
        </w:r>
        <w:r>
          <w:rPr>
            <w:noProof/>
            <w:webHidden/>
          </w:rPr>
          <w:t>25</w:t>
        </w:r>
        <w:r>
          <w:rPr>
            <w:noProof/>
            <w:webHidden/>
          </w:rPr>
          <w:fldChar w:fldCharType="end"/>
        </w:r>
      </w:hyperlink>
    </w:p>
    <w:p w14:paraId="0252A9B5" w14:textId="647CCCB2" w:rsidR="001D15FC" w:rsidRDefault="001D15FC">
      <w:pPr>
        <w:pStyle w:val="TOC2"/>
        <w:rPr>
          <w:rFonts w:asciiTheme="minorHAnsi" w:eastAsiaTheme="minorEastAsia" w:hAnsiTheme="minorHAnsi" w:cstheme="minorBidi"/>
          <w:caps w:val="0"/>
          <w:noProof/>
          <w:kern w:val="2"/>
          <w:szCs w:val="24"/>
          <w:lang w:val="en-US"/>
          <w14:ligatures w14:val="standardContextual"/>
        </w:rPr>
      </w:pPr>
      <w:hyperlink w:anchor="_Toc243470615" w:history="1">
        <w:r w:rsidRPr="00495FD9">
          <w:rPr>
            <w:rStyle w:val="Hyperlink"/>
            <w:noProof/>
          </w:rPr>
          <w:t>3.7 Benchmark econométrico e referências de comparação</w:t>
        </w:r>
        <w:r>
          <w:rPr>
            <w:noProof/>
            <w:webHidden/>
          </w:rPr>
          <w:tab/>
        </w:r>
        <w:r>
          <w:rPr>
            <w:noProof/>
            <w:webHidden/>
          </w:rPr>
          <w:fldChar w:fldCharType="begin"/>
        </w:r>
        <w:r>
          <w:rPr>
            <w:noProof/>
            <w:webHidden/>
          </w:rPr>
          <w:instrText xml:space="preserve"> PAGEREF _Toc243470615 \h </w:instrText>
        </w:r>
        <w:r>
          <w:rPr>
            <w:noProof/>
            <w:webHidden/>
          </w:rPr>
        </w:r>
        <w:r>
          <w:rPr>
            <w:noProof/>
            <w:webHidden/>
          </w:rPr>
          <w:fldChar w:fldCharType="separate"/>
        </w:r>
        <w:r>
          <w:rPr>
            <w:noProof/>
            <w:webHidden/>
          </w:rPr>
          <w:t>26</w:t>
        </w:r>
        <w:r>
          <w:rPr>
            <w:noProof/>
            <w:webHidden/>
          </w:rPr>
          <w:fldChar w:fldCharType="end"/>
        </w:r>
      </w:hyperlink>
    </w:p>
    <w:p w14:paraId="38453409" w14:textId="15455D07" w:rsidR="001D15FC" w:rsidRDefault="001D15FC">
      <w:pPr>
        <w:pStyle w:val="TOC2"/>
        <w:rPr>
          <w:rFonts w:asciiTheme="minorHAnsi" w:eastAsiaTheme="minorEastAsia" w:hAnsiTheme="minorHAnsi" w:cstheme="minorBidi"/>
          <w:caps w:val="0"/>
          <w:noProof/>
          <w:kern w:val="2"/>
          <w:szCs w:val="24"/>
          <w:lang w:val="en-US"/>
          <w14:ligatures w14:val="standardContextual"/>
        </w:rPr>
      </w:pPr>
      <w:hyperlink w:anchor="_Toc243470616" w:history="1">
        <w:r w:rsidRPr="00495FD9">
          <w:rPr>
            <w:rStyle w:val="Hyperlink"/>
            <w:noProof/>
          </w:rPr>
          <w:t>3.8 Avaliação fora da amostra e comparação estatística</w:t>
        </w:r>
        <w:r>
          <w:rPr>
            <w:noProof/>
            <w:webHidden/>
          </w:rPr>
          <w:tab/>
        </w:r>
        <w:r>
          <w:rPr>
            <w:noProof/>
            <w:webHidden/>
          </w:rPr>
          <w:fldChar w:fldCharType="begin"/>
        </w:r>
        <w:r>
          <w:rPr>
            <w:noProof/>
            <w:webHidden/>
          </w:rPr>
          <w:instrText xml:space="preserve"> PAGEREF _Toc243470616 \h </w:instrText>
        </w:r>
        <w:r>
          <w:rPr>
            <w:noProof/>
            <w:webHidden/>
          </w:rPr>
        </w:r>
        <w:r>
          <w:rPr>
            <w:noProof/>
            <w:webHidden/>
          </w:rPr>
          <w:fldChar w:fldCharType="separate"/>
        </w:r>
        <w:r>
          <w:rPr>
            <w:noProof/>
            <w:webHidden/>
          </w:rPr>
          <w:t>27</w:t>
        </w:r>
        <w:r>
          <w:rPr>
            <w:noProof/>
            <w:webHidden/>
          </w:rPr>
          <w:fldChar w:fldCharType="end"/>
        </w:r>
      </w:hyperlink>
    </w:p>
    <w:p w14:paraId="51EA0859" w14:textId="49DE661F" w:rsidR="001D15FC" w:rsidRDefault="001D15FC">
      <w:pPr>
        <w:pStyle w:val="TOC2"/>
        <w:rPr>
          <w:rFonts w:asciiTheme="minorHAnsi" w:eastAsiaTheme="minorEastAsia" w:hAnsiTheme="minorHAnsi" w:cstheme="minorBidi"/>
          <w:caps w:val="0"/>
          <w:noProof/>
          <w:kern w:val="2"/>
          <w:szCs w:val="24"/>
          <w:lang w:val="en-US"/>
          <w14:ligatures w14:val="standardContextual"/>
        </w:rPr>
      </w:pPr>
      <w:hyperlink w:anchor="_Toc243470617" w:history="1">
        <w:r w:rsidRPr="00495FD9">
          <w:rPr>
            <w:rStyle w:val="Hyperlink"/>
            <w:noProof/>
          </w:rPr>
          <w:t>3.9 Interpretação complementar dos modelos</w:t>
        </w:r>
        <w:r>
          <w:rPr>
            <w:noProof/>
            <w:webHidden/>
          </w:rPr>
          <w:tab/>
        </w:r>
        <w:r>
          <w:rPr>
            <w:noProof/>
            <w:webHidden/>
          </w:rPr>
          <w:fldChar w:fldCharType="begin"/>
        </w:r>
        <w:r>
          <w:rPr>
            <w:noProof/>
            <w:webHidden/>
          </w:rPr>
          <w:instrText xml:space="preserve"> PAGEREF _Toc243470617 \h </w:instrText>
        </w:r>
        <w:r>
          <w:rPr>
            <w:noProof/>
            <w:webHidden/>
          </w:rPr>
        </w:r>
        <w:r>
          <w:rPr>
            <w:noProof/>
            <w:webHidden/>
          </w:rPr>
          <w:fldChar w:fldCharType="separate"/>
        </w:r>
        <w:r>
          <w:rPr>
            <w:noProof/>
            <w:webHidden/>
          </w:rPr>
          <w:t>27</w:t>
        </w:r>
        <w:r>
          <w:rPr>
            <w:noProof/>
            <w:webHidden/>
          </w:rPr>
          <w:fldChar w:fldCharType="end"/>
        </w:r>
      </w:hyperlink>
    </w:p>
    <w:p w14:paraId="1A4F2F54" w14:textId="531DFC88" w:rsidR="001D15FC" w:rsidRDefault="001D15FC">
      <w:pPr>
        <w:pStyle w:val="TOC2"/>
        <w:rPr>
          <w:rFonts w:asciiTheme="minorHAnsi" w:eastAsiaTheme="minorEastAsia" w:hAnsiTheme="minorHAnsi" w:cstheme="minorBidi"/>
          <w:caps w:val="0"/>
          <w:noProof/>
          <w:kern w:val="2"/>
          <w:szCs w:val="24"/>
          <w:lang w:val="en-US"/>
          <w14:ligatures w14:val="standardContextual"/>
        </w:rPr>
      </w:pPr>
      <w:hyperlink w:anchor="_Toc243470618" w:history="1">
        <w:r w:rsidRPr="00495FD9">
          <w:rPr>
            <w:rStyle w:val="Hyperlink"/>
            <w:noProof/>
          </w:rPr>
          <w:t>3.10 Aspectos computacionais e reprodutibilidade</w:t>
        </w:r>
        <w:r>
          <w:rPr>
            <w:noProof/>
            <w:webHidden/>
          </w:rPr>
          <w:tab/>
        </w:r>
        <w:r>
          <w:rPr>
            <w:noProof/>
            <w:webHidden/>
          </w:rPr>
          <w:fldChar w:fldCharType="begin"/>
        </w:r>
        <w:r>
          <w:rPr>
            <w:noProof/>
            <w:webHidden/>
          </w:rPr>
          <w:instrText xml:space="preserve"> PAGEREF _Toc243470618 \h </w:instrText>
        </w:r>
        <w:r>
          <w:rPr>
            <w:noProof/>
            <w:webHidden/>
          </w:rPr>
        </w:r>
        <w:r>
          <w:rPr>
            <w:noProof/>
            <w:webHidden/>
          </w:rPr>
          <w:fldChar w:fldCharType="separate"/>
        </w:r>
        <w:r>
          <w:rPr>
            <w:noProof/>
            <w:webHidden/>
          </w:rPr>
          <w:t>27</w:t>
        </w:r>
        <w:r>
          <w:rPr>
            <w:noProof/>
            <w:webHidden/>
          </w:rPr>
          <w:fldChar w:fldCharType="end"/>
        </w:r>
      </w:hyperlink>
    </w:p>
    <w:p w14:paraId="6AD759B1" w14:textId="5041F962" w:rsidR="001D15FC" w:rsidRDefault="001D15FC">
      <w:pPr>
        <w:pStyle w:val="TOC2"/>
        <w:rPr>
          <w:rFonts w:asciiTheme="minorHAnsi" w:eastAsiaTheme="minorEastAsia" w:hAnsiTheme="minorHAnsi" w:cstheme="minorBidi"/>
          <w:caps w:val="0"/>
          <w:noProof/>
          <w:kern w:val="2"/>
          <w:szCs w:val="24"/>
          <w:lang w:val="en-US"/>
          <w14:ligatures w14:val="standardContextual"/>
        </w:rPr>
      </w:pPr>
      <w:hyperlink w:anchor="_Toc243470619" w:history="1">
        <w:r w:rsidRPr="00495FD9">
          <w:rPr>
            <w:rStyle w:val="Hyperlink"/>
            <w:noProof/>
          </w:rPr>
          <w:t>3.11 Critérios de conclusão e interpretação dos resultados</w:t>
        </w:r>
        <w:r>
          <w:rPr>
            <w:noProof/>
            <w:webHidden/>
          </w:rPr>
          <w:tab/>
        </w:r>
        <w:r>
          <w:rPr>
            <w:noProof/>
            <w:webHidden/>
          </w:rPr>
          <w:fldChar w:fldCharType="begin"/>
        </w:r>
        <w:r>
          <w:rPr>
            <w:noProof/>
            <w:webHidden/>
          </w:rPr>
          <w:instrText xml:space="preserve"> PAGEREF _Toc243470619 \h </w:instrText>
        </w:r>
        <w:r>
          <w:rPr>
            <w:noProof/>
            <w:webHidden/>
          </w:rPr>
        </w:r>
        <w:r>
          <w:rPr>
            <w:noProof/>
            <w:webHidden/>
          </w:rPr>
          <w:fldChar w:fldCharType="separate"/>
        </w:r>
        <w:r>
          <w:rPr>
            <w:noProof/>
            <w:webHidden/>
          </w:rPr>
          <w:t>28</w:t>
        </w:r>
        <w:r>
          <w:rPr>
            <w:noProof/>
            <w:webHidden/>
          </w:rPr>
          <w:fldChar w:fldCharType="end"/>
        </w:r>
      </w:hyperlink>
    </w:p>
    <w:p w14:paraId="6298D3A2" w14:textId="0B693777" w:rsidR="001D15FC" w:rsidRDefault="001D15FC">
      <w:pPr>
        <w:pStyle w:val="TOC1"/>
        <w:rPr>
          <w:rFonts w:asciiTheme="minorHAnsi" w:eastAsiaTheme="minorEastAsia" w:hAnsiTheme="minorHAnsi" w:cstheme="minorBidi"/>
          <w:b w:val="0"/>
          <w:caps w:val="0"/>
          <w:noProof/>
          <w:kern w:val="2"/>
          <w:szCs w:val="24"/>
          <w:lang w:val="en-US"/>
          <w14:ligatures w14:val="standardContextual"/>
        </w:rPr>
      </w:pPr>
      <w:hyperlink w:anchor="_Toc243470620" w:history="1">
        <w:r w:rsidRPr="00495FD9">
          <w:rPr>
            <w:rStyle w:val="Hyperlink"/>
            <w:noProof/>
          </w:rPr>
          <w:t>4 RESULTADOS E DISCUSSÃO</w:t>
        </w:r>
        <w:r>
          <w:rPr>
            <w:noProof/>
            <w:webHidden/>
          </w:rPr>
          <w:tab/>
        </w:r>
        <w:r>
          <w:rPr>
            <w:noProof/>
            <w:webHidden/>
          </w:rPr>
          <w:fldChar w:fldCharType="begin"/>
        </w:r>
        <w:r>
          <w:rPr>
            <w:noProof/>
            <w:webHidden/>
          </w:rPr>
          <w:instrText xml:space="preserve"> PAGEREF _Toc243470620 \h </w:instrText>
        </w:r>
        <w:r>
          <w:rPr>
            <w:noProof/>
            <w:webHidden/>
          </w:rPr>
        </w:r>
        <w:r>
          <w:rPr>
            <w:noProof/>
            <w:webHidden/>
          </w:rPr>
          <w:fldChar w:fldCharType="separate"/>
        </w:r>
        <w:r>
          <w:rPr>
            <w:noProof/>
            <w:webHidden/>
          </w:rPr>
          <w:t>29</w:t>
        </w:r>
        <w:r>
          <w:rPr>
            <w:noProof/>
            <w:webHidden/>
          </w:rPr>
          <w:fldChar w:fldCharType="end"/>
        </w:r>
      </w:hyperlink>
    </w:p>
    <w:p w14:paraId="1BFBE344" w14:textId="2B7273BC" w:rsidR="001D15FC" w:rsidRDefault="001D15FC">
      <w:pPr>
        <w:pStyle w:val="TOC1"/>
        <w:rPr>
          <w:rFonts w:asciiTheme="minorHAnsi" w:eastAsiaTheme="minorEastAsia" w:hAnsiTheme="minorHAnsi" w:cstheme="minorBidi"/>
          <w:b w:val="0"/>
          <w:caps w:val="0"/>
          <w:noProof/>
          <w:kern w:val="2"/>
          <w:szCs w:val="24"/>
          <w:lang w:val="en-US"/>
          <w14:ligatures w14:val="standardContextual"/>
        </w:rPr>
      </w:pPr>
      <w:hyperlink w:anchor="_Toc243470621" w:history="1">
        <w:r w:rsidRPr="00495FD9">
          <w:rPr>
            <w:rStyle w:val="Hyperlink"/>
            <w:noProof/>
          </w:rPr>
          <w:t>5 CONCLUSÃO</w:t>
        </w:r>
        <w:r>
          <w:rPr>
            <w:noProof/>
            <w:webHidden/>
          </w:rPr>
          <w:tab/>
        </w:r>
        <w:r>
          <w:rPr>
            <w:noProof/>
            <w:webHidden/>
          </w:rPr>
          <w:fldChar w:fldCharType="begin"/>
        </w:r>
        <w:r>
          <w:rPr>
            <w:noProof/>
            <w:webHidden/>
          </w:rPr>
          <w:instrText xml:space="preserve"> PAGEREF _Toc243470621 \h </w:instrText>
        </w:r>
        <w:r>
          <w:rPr>
            <w:noProof/>
            <w:webHidden/>
          </w:rPr>
        </w:r>
        <w:r>
          <w:rPr>
            <w:noProof/>
            <w:webHidden/>
          </w:rPr>
          <w:fldChar w:fldCharType="separate"/>
        </w:r>
        <w:r>
          <w:rPr>
            <w:noProof/>
            <w:webHidden/>
          </w:rPr>
          <w:t>31</w:t>
        </w:r>
        <w:r>
          <w:rPr>
            <w:noProof/>
            <w:webHidden/>
          </w:rPr>
          <w:fldChar w:fldCharType="end"/>
        </w:r>
      </w:hyperlink>
    </w:p>
    <w:p w14:paraId="294A7362" w14:textId="777B5693" w:rsidR="001D15FC" w:rsidRDefault="001D15FC">
      <w:pPr>
        <w:pStyle w:val="TOC1"/>
        <w:rPr>
          <w:rFonts w:asciiTheme="minorHAnsi" w:eastAsiaTheme="minorEastAsia" w:hAnsiTheme="minorHAnsi" w:cstheme="minorBidi"/>
          <w:b w:val="0"/>
          <w:caps w:val="0"/>
          <w:noProof/>
          <w:kern w:val="2"/>
          <w:szCs w:val="24"/>
          <w:lang w:val="en-US"/>
          <w14:ligatures w14:val="standardContextual"/>
        </w:rPr>
      </w:pPr>
      <w:hyperlink w:anchor="_Toc243470622" w:history="1">
        <w:r w:rsidRPr="00495FD9">
          <w:rPr>
            <w:rStyle w:val="Hyperlink"/>
            <w:noProof/>
          </w:rPr>
          <w:t>6 CRONOGRAMA DE ATIVIDADES</w:t>
        </w:r>
        <w:r>
          <w:rPr>
            <w:noProof/>
            <w:webHidden/>
          </w:rPr>
          <w:tab/>
        </w:r>
        <w:r>
          <w:rPr>
            <w:noProof/>
            <w:webHidden/>
          </w:rPr>
          <w:fldChar w:fldCharType="begin"/>
        </w:r>
        <w:r>
          <w:rPr>
            <w:noProof/>
            <w:webHidden/>
          </w:rPr>
          <w:instrText xml:space="preserve"> PAGEREF _Toc243470622 \h </w:instrText>
        </w:r>
        <w:r>
          <w:rPr>
            <w:noProof/>
            <w:webHidden/>
          </w:rPr>
        </w:r>
        <w:r>
          <w:rPr>
            <w:noProof/>
            <w:webHidden/>
          </w:rPr>
          <w:fldChar w:fldCharType="separate"/>
        </w:r>
        <w:r>
          <w:rPr>
            <w:noProof/>
            <w:webHidden/>
          </w:rPr>
          <w:t>32</w:t>
        </w:r>
        <w:r>
          <w:rPr>
            <w:noProof/>
            <w:webHidden/>
          </w:rPr>
          <w:fldChar w:fldCharType="end"/>
        </w:r>
      </w:hyperlink>
    </w:p>
    <w:p w14:paraId="28393B9D" w14:textId="31EBA0AD" w:rsidR="001D15FC" w:rsidRDefault="001D15FC">
      <w:pPr>
        <w:pStyle w:val="TOC1"/>
        <w:rPr>
          <w:rFonts w:asciiTheme="minorHAnsi" w:eastAsiaTheme="minorEastAsia" w:hAnsiTheme="minorHAnsi" w:cstheme="minorBidi"/>
          <w:b w:val="0"/>
          <w:caps w:val="0"/>
          <w:noProof/>
          <w:kern w:val="2"/>
          <w:szCs w:val="24"/>
          <w:lang w:val="en-US"/>
          <w14:ligatures w14:val="standardContextual"/>
        </w:rPr>
      </w:pPr>
      <w:hyperlink w:anchor="_Toc243470623" w:history="1">
        <w:r w:rsidRPr="00495FD9">
          <w:rPr>
            <w:rStyle w:val="Hyperlink"/>
            <w:noProof/>
          </w:rPr>
          <w:t>REFERÊNCIAS</w:t>
        </w:r>
        <w:r>
          <w:rPr>
            <w:noProof/>
            <w:webHidden/>
          </w:rPr>
          <w:tab/>
        </w:r>
        <w:r>
          <w:rPr>
            <w:noProof/>
            <w:webHidden/>
          </w:rPr>
          <w:fldChar w:fldCharType="begin"/>
        </w:r>
        <w:r>
          <w:rPr>
            <w:noProof/>
            <w:webHidden/>
          </w:rPr>
          <w:instrText xml:space="preserve"> PAGEREF _Toc243470623 \h </w:instrText>
        </w:r>
        <w:r>
          <w:rPr>
            <w:noProof/>
            <w:webHidden/>
          </w:rPr>
        </w:r>
        <w:r>
          <w:rPr>
            <w:noProof/>
            <w:webHidden/>
          </w:rPr>
          <w:fldChar w:fldCharType="separate"/>
        </w:r>
        <w:r>
          <w:rPr>
            <w:noProof/>
            <w:webHidden/>
          </w:rPr>
          <w:t>33</w:t>
        </w:r>
        <w:r>
          <w:rPr>
            <w:noProof/>
            <w:webHidden/>
          </w:rPr>
          <w:fldChar w:fldCharType="end"/>
        </w:r>
      </w:hyperlink>
    </w:p>
    <w:p w14:paraId="36B0B4AD" w14:textId="41C753D7" w:rsidR="001D15FC" w:rsidRDefault="001D15FC">
      <w:pPr>
        <w:pStyle w:val="TOC1"/>
        <w:rPr>
          <w:rFonts w:asciiTheme="minorHAnsi" w:eastAsiaTheme="minorEastAsia" w:hAnsiTheme="minorHAnsi" w:cstheme="minorBidi"/>
          <w:b w:val="0"/>
          <w:caps w:val="0"/>
          <w:noProof/>
          <w:kern w:val="2"/>
          <w:szCs w:val="24"/>
          <w:lang w:val="en-US"/>
          <w14:ligatures w14:val="standardContextual"/>
        </w:rPr>
      </w:pPr>
      <w:hyperlink w:anchor="_Toc243470624" w:history="1">
        <w:r w:rsidRPr="00495FD9">
          <w:rPr>
            <w:rStyle w:val="Hyperlink"/>
            <w:noProof/>
          </w:rPr>
          <w:t>APÊNDICE A — SÍNTESE DE CAMPANI E DURÃES (2018)</w:t>
        </w:r>
        <w:r>
          <w:rPr>
            <w:noProof/>
            <w:webHidden/>
          </w:rPr>
          <w:tab/>
        </w:r>
        <w:r>
          <w:rPr>
            <w:noProof/>
            <w:webHidden/>
          </w:rPr>
          <w:fldChar w:fldCharType="begin"/>
        </w:r>
        <w:r>
          <w:rPr>
            <w:noProof/>
            <w:webHidden/>
          </w:rPr>
          <w:instrText xml:space="preserve"> PAGEREF _Toc243470624 \h </w:instrText>
        </w:r>
        <w:r>
          <w:rPr>
            <w:noProof/>
            <w:webHidden/>
          </w:rPr>
        </w:r>
        <w:r>
          <w:rPr>
            <w:noProof/>
            <w:webHidden/>
          </w:rPr>
          <w:fldChar w:fldCharType="separate"/>
        </w:r>
        <w:r>
          <w:rPr>
            <w:noProof/>
            <w:webHidden/>
          </w:rPr>
          <w:t>37</w:t>
        </w:r>
        <w:r>
          <w:rPr>
            <w:noProof/>
            <w:webHidden/>
          </w:rPr>
          <w:fldChar w:fldCharType="end"/>
        </w:r>
      </w:hyperlink>
    </w:p>
    <w:p w14:paraId="341024FE" w14:textId="6716BF7D" w:rsidR="001D15FC" w:rsidRDefault="001D15FC">
      <w:pPr>
        <w:pStyle w:val="TOC1"/>
        <w:rPr>
          <w:rFonts w:asciiTheme="minorHAnsi" w:eastAsiaTheme="minorEastAsia" w:hAnsiTheme="minorHAnsi" w:cstheme="minorBidi"/>
          <w:b w:val="0"/>
          <w:caps w:val="0"/>
          <w:noProof/>
          <w:kern w:val="2"/>
          <w:szCs w:val="24"/>
          <w:lang w:val="en-US"/>
          <w14:ligatures w14:val="standardContextual"/>
        </w:rPr>
      </w:pPr>
      <w:hyperlink w:anchor="_Toc243470625" w:history="1">
        <w:r w:rsidRPr="00495FD9">
          <w:rPr>
            <w:rStyle w:val="Hyperlink"/>
            <w:noProof/>
          </w:rPr>
          <w:t>APÊNDICE B — SÍNTESE DE CONT (2001)</w:t>
        </w:r>
        <w:r>
          <w:rPr>
            <w:noProof/>
            <w:webHidden/>
          </w:rPr>
          <w:tab/>
        </w:r>
        <w:r>
          <w:rPr>
            <w:noProof/>
            <w:webHidden/>
          </w:rPr>
          <w:fldChar w:fldCharType="begin"/>
        </w:r>
        <w:r>
          <w:rPr>
            <w:noProof/>
            <w:webHidden/>
          </w:rPr>
          <w:instrText xml:space="preserve"> PAGEREF _Toc243470625 \h </w:instrText>
        </w:r>
        <w:r>
          <w:rPr>
            <w:noProof/>
            <w:webHidden/>
          </w:rPr>
        </w:r>
        <w:r>
          <w:rPr>
            <w:noProof/>
            <w:webHidden/>
          </w:rPr>
          <w:fldChar w:fldCharType="separate"/>
        </w:r>
        <w:r>
          <w:rPr>
            <w:noProof/>
            <w:webHidden/>
          </w:rPr>
          <w:t>38</w:t>
        </w:r>
        <w:r>
          <w:rPr>
            <w:noProof/>
            <w:webHidden/>
          </w:rPr>
          <w:fldChar w:fldCharType="end"/>
        </w:r>
      </w:hyperlink>
    </w:p>
    <w:p w14:paraId="6A67FD70" w14:textId="64278E6D" w:rsidR="001D15FC" w:rsidRDefault="001D15FC">
      <w:pPr>
        <w:pStyle w:val="TOC1"/>
        <w:rPr>
          <w:rFonts w:asciiTheme="minorHAnsi" w:eastAsiaTheme="minorEastAsia" w:hAnsiTheme="minorHAnsi" w:cstheme="minorBidi"/>
          <w:b w:val="0"/>
          <w:caps w:val="0"/>
          <w:noProof/>
          <w:kern w:val="2"/>
          <w:szCs w:val="24"/>
          <w:lang w:val="en-US"/>
          <w14:ligatures w14:val="standardContextual"/>
        </w:rPr>
      </w:pPr>
      <w:hyperlink w:anchor="_Toc243470626" w:history="1">
        <w:r w:rsidRPr="00495FD9">
          <w:rPr>
            <w:rStyle w:val="Hyperlink"/>
            <w:noProof/>
          </w:rPr>
          <w:t>APÊNDICE C — SÍNTESE DE DE MEL (2026)</w:t>
        </w:r>
        <w:r>
          <w:rPr>
            <w:noProof/>
            <w:webHidden/>
          </w:rPr>
          <w:tab/>
        </w:r>
        <w:r>
          <w:rPr>
            <w:noProof/>
            <w:webHidden/>
          </w:rPr>
          <w:fldChar w:fldCharType="begin"/>
        </w:r>
        <w:r>
          <w:rPr>
            <w:noProof/>
            <w:webHidden/>
          </w:rPr>
          <w:instrText xml:space="preserve"> PAGEREF _Toc243470626 \h </w:instrText>
        </w:r>
        <w:r>
          <w:rPr>
            <w:noProof/>
            <w:webHidden/>
          </w:rPr>
        </w:r>
        <w:r>
          <w:rPr>
            <w:noProof/>
            <w:webHidden/>
          </w:rPr>
          <w:fldChar w:fldCharType="separate"/>
        </w:r>
        <w:r>
          <w:rPr>
            <w:noProof/>
            <w:webHidden/>
          </w:rPr>
          <w:t>39</w:t>
        </w:r>
        <w:r>
          <w:rPr>
            <w:noProof/>
            <w:webHidden/>
          </w:rPr>
          <w:fldChar w:fldCharType="end"/>
        </w:r>
      </w:hyperlink>
    </w:p>
    <w:p w14:paraId="3272915F" w14:textId="1633C1B8" w:rsidR="001D15FC" w:rsidRDefault="001D15FC">
      <w:pPr>
        <w:pStyle w:val="TOC1"/>
        <w:rPr>
          <w:rFonts w:asciiTheme="minorHAnsi" w:eastAsiaTheme="minorEastAsia" w:hAnsiTheme="minorHAnsi" w:cstheme="minorBidi"/>
          <w:b w:val="0"/>
          <w:caps w:val="0"/>
          <w:noProof/>
          <w:kern w:val="2"/>
          <w:szCs w:val="24"/>
          <w:lang w:val="en-US"/>
          <w14:ligatures w14:val="standardContextual"/>
        </w:rPr>
      </w:pPr>
      <w:hyperlink w:anchor="_Toc243470627" w:history="1">
        <w:r w:rsidRPr="00495FD9">
          <w:rPr>
            <w:rStyle w:val="Hyperlink"/>
            <w:noProof/>
          </w:rPr>
          <w:t>APÊNDICE D — SÍNTESE DE ARIMOND ET AL. (2026)</w:t>
        </w:r>
        <w:r>
          <w:rPr>
            <w:noProof/>
            <w:webHidden/>
          </w:rPr>
          <w:tab/>
        </w:r>
        <w:r>
          <w:rPr>
            <w:noProof/>
            <w:webHidden/>
          </w:rPr>
          <w:fldChar w:fldCharType="begin"/>
        </w:r>
        <w:r>
          <w:rPr>
            <w:noProof/>
            <w:webHidden/>
          </w:rPr>
          <w:instrText xml:space="preserve"> PAGEREF _Toc243470627 \h </w:instrText>
        </w:r>
        <w:r>
          <w:rPr>
            <w:noProof/>
            <w:webHidden/>
          </w:rPr>
        </w:r>
        <w:r>
          <w:rPr>
            <w:noProof/>
            <w:webHidden/>
          </w:rPr>
          <w:fldChar w:fldCharType="separate"/>
        </w:r>
        <w:r>
          <w:rPr>
            <w:noProof/>
            <w:webHidden/>
          </w:rPr>
          <w:t>40</w:t>
        </w:r>
        <w:r>
          <w:rPr>
            <w:noProof/>
            <w:webHidden/>
          </w:rPr>
          <w:fldChar w:fldCharType="end"/>
        </w:r>
      </w:hyperlink>
    </w:p>
    <w:p w14:paraId="703FC1A0" w14:textId="18887815" w:rsidR="001D15FC" w:rsidRDefault="001D15FC">
      <w:pPr>
        <w:pStyle w:val="TOC1"/>
        <w:rPr>
          <w:rFonts w:asciiTheme="minorHAnsi" w:eastAsiaTheme="minorEastAsia" w:hAnsiTheme="minorHAnsi" w:cstheme="minorBidi"/>
          <w:b w:val="0"/>
          <w:caps w:val="0"/>
          <w:noProof/>
          <w:kern w:val="2"/>
          <w:szCs w:val="24"/>
          <w:lang w:val="en-US"/>
          <w14:ligatures w14:val="standardContextual"/>
        </w:rPr>
      </w:pPr>
      <w:hyperlink w:anchor="_Toc243470628" w:history="1">
        <w:r w:rsidRPr="00495FD9">
          <w:rPr>
            <w:rStyle w:val="Hyperlink"/>
            <w:noProof/>
          </w:rPr>
          <w:t>APÊNDICE E — SÍNTESE DE HAMILTON (1989)</w:t>
        </w:r>
        <w:r>
          <w:rPr>
            <w:noProof/>
            <w:webHidden/>
          </w:rPr>
          <w:tab/>
        </w:r>
        <w:r>
          <w:rPr>
            <w:noProof/>
            <w:webHidden/>
          </w:rPr>
          <w:fldChar w:fldCharType="begin"/>
        </w:r>
        <w:r>
          <w:rPr>
            <w:noProof/>
            <w:webHidden/>
          </w:rPr>
          <w:instrText xml:space="preserve"> PAGEREF _Toc243470628 \h </w:instrText>
        </w:r>
        <w:r>
          <w:rPr>
            <w:noProof/>
            <w:webHidden/>
          </w:rPr>
        </w:r>
        <w:r>
          <w:rPr>
            <w:noProof/>
            <w:webHidden/>
          </w:rPr>
          <w:fldChar w:fldCharType="separate"/>
        </w:r>
        <w:r>
          <w:rPr>
            <w:noProof/>
            <w:webHidden/>
          </w:rPr>
          <w:t>41</w:t>
        </w:r>
        <w:r>
          <w:rPr>
            <w:noProof/>
            <w:webHidden/>
          </w:rPr>
          <w:fldChar w:fldCharType="end"/>
        </w:r>
      </w:hyperlink>
    </w:p>
    <w:p w14:paraId="58F40857" w14:textId="56342591" w:rsidR="001D15FC" w:rsidRDefault="001D15FC">
      <w:pPr>
        <w:pStyle w:val="TOC1"/>
        <w:rPr>
          <w:rFonts w:asciiTheme="minorHAnsi" w:eastAsiaTheme="minorEastAsia" w:hAnsiTheme="minorHAnsi" w:cstheme="minorBidi"/>
          <w:b w:val="0"/>
          <w:caps w:val="0"/>
          <w:noProof/>
          <w:kern w:val="2"/>
          <w:szCs w:val="24"/>
          <w:lang w:val="en-US"/>
          <w14:ligatures w14:val="standardContextual"/>
        </w:rPr>
      </w:pPr>
      <w:hyperlink w:anchor="_Toc243470629" w:history="1">
        <w:r w:rsidRPr="00495FD9">
          <w:rPr>
            <w:rStyle w:val="Hyperlink"/>
            <w:noProof/>
          </w:rPr>
          <w:t>APÊNDICE F — SÍNTESE DE HOCHREITER E SCHMIDHUBER (1997)</w:t>
        </w:r>
        <w:r>
          <w:rPr>
            <w:noProof/>
            <w:webHidden/>
          </w:rPr>
          <w:tab/>
        </w:r>
        <w:r>
          <w:rPr>
            <w:noProof/>
            <w:webHidden/>
          </w:rPr>
          <w:fldChar w:fldCharType="begin"/>
        </w:r>
        <w:r>
          <w:rPr>
            <w:noProof/>
            <w:webHidden/>
          </w:rPr>
          <w:instrText xml:space="preserve"> PAGEREF _Toc243470629 \h </w:instrText>
        </w:r>
        <w:r>
          <w:rPr>
            <w:noProof/>
            <w:webHidden/>
          </w:rPr>
        </w:r>
        <w:r>
          <w:rPr>
            <w:noProof/>
            <w:webHidden/>
          </w:rPr>
          <w:fldChar w:fldCharType="separate"/>
        </w:r>
        <w:r>
          <w:rPr>
            <w:noProof/>
            <w:webHidden/>
          </w:rPr>
          <w:t>42</w:t>
        </w:r>
        <w:r>
          <w:rPr>
            <w:noProof/>
            <w:webHidden/>
          </w:rPr>
          <w:fldChar w:fldCharType="end"/>
        </w:r>
      </w:hyperlink>
    </w:p>
    <w:p w14:paraId="24F0DD21" w14:textId="616070D5" w:rsidR="001D15FC" w:rsidRDefault="001D15FC">
      <w:pPr>
        <w:pStyle w:val="TOC1"/>
        <w:rPr>
          <w:rFonts w:asciiTheme="minorHAnsi" w:eastAsiaTheme="minorEastAsia" w:hAnsiTheme="minorHAnsi" w:cstheme="minorBidi"/>
          <w:b w:val="0"/>
          <w:caps w:val="0"/>
          <w:noProof/>
          <w:kern w:val="2"/>
          <w:szCs w:val="24"/>
          <w:lang w:val="en-US"/>
          <w14:ligatures w14:val="standardContextual"/>
        </w:rPr>
      </w:pPr>
      <w:hyperlink w:anchor="_Toc243470630" w:history="1">
        <w:r w:rsidRPr="00495FD9">
          <w:rPr>
            <w:rStyle w:val="Hyperlink"/>
            <w:noProof/>
          </w:rPr>
          <w:t>APÊNDICE G — SÍNTESE DE ARDIA ET AL. (2019)</w:t>
        </w:r>
        <w:r>
          <w:rPr>
            <w:noProof/>
            <w:webHidden/>
          </w:rPr>
          <w:tab/>
        </w:r>
        <w:r>
          <w:rPr>
            <w:noProof/>
            <w:webHidden/>
          </w:rPr>
          <w:fldChar w:fldCharType="begin"/>
        </w:r>
        <w:r>
          <w:rPr>
            <w:noProof/>
            <w:webHidden/>
          </w:rPr>
          <w:instrText xml:space="preserve"> PAGEREF _Toc243470630 \h </w:instrText>
        </w:r>
        <w:r>
          <w:rPr>
            <w:noProof/>
            <w:webHidden/>
          </w:rPr>
        </w:r>
        <w:r>
          <w:rPr>
            <w:noProof/>
            <w:webHidden/>
          </w:rPr>
          <w:fldChar w:fldCharType="separate"/>
        </w:r>
        <w:r>
          <w:rPr>
            <w:noProof/>
            <w:webHidden/>
          </w:rPr>
          <w:t>43</w:t>
        </w:r>
        <w:r>
          <w:rPr>
            <w:noProof/>
            <w:webHidden/>
          </w:rPr>
          <w:fldChar w:fldCharType="end"/>
        </w:r>
      </w:hyperlink>
    </w:p>
    <w:p w14:paraId="47600791" w14:textId="57D36D72" w:rsidR="001D15FC" w:rsidRDefault="001D15FC">
      <w:pPr>
        <w:pStyle w:val="TOC1"/>
        <w:rPr>
          <w:rFonts w:asciiTheme="minorHAnsi" w:eastAsiaTheme="minorEastAsia" w:hAnsiTheme="minorHAnsi" w:cstheme="minorBidi"/>
          <w:b w:val="0"/>
          <w:caps w:val="0"/>
          <w:noProof/>
          <w:kern w:val="2"/>
          <w:szCs w:val="24"/>
          <w:lang w:val="en-US"/>
          <w14:ligatures w14:val="standardContextual"/>
        </w:rPr>
      </w:pPr>
      <w:hyperlink w:anchor="_Toc243470631" w:history="1">
        <w:r w:rsidRPr="00495FD9">
          <w:rPr>
            <w:rStyle w:val="Hyperlink"/>
            <w:noProof/>
          </w:rPr>
          <w:t>APÊNDICE H — SÍNTESE DE LUNDBERG E LEE (2017)</w:t>
        </w:r>
        <w:r>
          <w:rPr>
            <w:noProof/>
            <w:webHidden/>
          </w:rPr>
          <w:tab/>
        </w:r>
        <w:r>
          <w:rPr>
            <w:noProof/>
            <w:webHidden/>
          </w:rPr>
          <w:fldChar w:fldCharType="begin"/>
        </w:r>
        <w:r>
          <w:rPr>
            <w:noProof/>
            <w:webHidden/>
          </w:rPr>
          <w:instrText xml:space="preserve"> PAGEREF _Toc243470631 \h </w:instrText>
        </w:r>
        <w:r>
          <w:rPr>
            <w:noProof/>
            <w:webHidden/>
          </w:rPr>
        </w:r>
        <w:r>
          <w:rPr>
            <w:noProof/>
            <w:webHidden/>
          </w:rPr>
          <w:fldChar w:fldCharType="separate"/>
        </w:r>
        <w:r>
          <w:rPr>
            <w:noProof/>
            <w:webHidden/>
          </w:rPr>
          <w:t>44</w:t>
        </w:r>
        <w:r>
          <w:rPr>
            <w:noProof/>
            <w:webHidden/>
          </w:rPr>
          <w:fldChar w:fldCharType="end"/>
        </w:r>
      </w:hyperlink>
    </w:p>
    <w:p w14:paraId="4A0F1194" w14:textId="462374B3" w:rsidR="001D15FC" w:rsidRDefault="001D15FC">
      <w:pPr>
        <w:pStyle w:val="TOC1"/>
        <w:rPr>
          <w:rFonts w:asciiTheme="minorHAnsi" w:eastAsiaTheme="minorEastAsia" w:hAnsiTheme="minorHAnsi" w:cstheme="minorBidi"/>
          <w:b w:val="0"/>
          <w:caps w:val="0"/>
          <w:noProof/>
          <w:kern w:val="2"/>
          <w:szCs w:val="24"/>
          <w:lang w:val="en-US"/>
          <w14:ligatures w14:val="standardContextual"/>
        </w:rPr>
      </w:pPr>
      <w:hyperlink w:anchor="_Toc243470632" w:history="1">
        <w:r w:rsidRPr="00495FD9">
          <w:rPr>
            <w:rStyle w:val="Hyperlink"/>
            <w:noProof/>
          </w:rPr>
          <w:t>APÊNDICE I — SÍNTESE DE CHRISTOFFERSEN (1998)</w:t>
        </w:r>
        <w:r>
          <w:rPr>
            <w:noProof/>
            <w:webHidden/>
          </w:rPr>
          <w:tab/>
        </w:r>
        <w:r>
          <w:rPr>
            <w:noProof/>
            <w:webHidden/>
          </w:rPr>
          <w:fldChar w:fldCharType="begin"/>
        </w:r>
        <w:r>
          <w:rPr>
            <w:noProof/>
            <w:webHidden/>
          </w:rPr>
          <w:instrText xml:space="preserve"> PAGEREF _Toc243470632 \h </w:instrText>
        </w:r>
        <w:r>
          <w:rPr>
            <w:noProof/>
            <w:webHidden/>
          </w:rPr>
        </w:r>
        <w:r>
          <w:rPr>
            <w:noProof/>
            <w:webHidden/>
          </w:rPr>
          <w:fldChar w:fldCharType="separate"/>
        </w:r>
        <w:r>
          <w:rPr>
            <w:noProof/>
            <w:webHidden/>
          </w:rPr>
          <w:t>45</w:t>
        </w:r>
        <w:r>
          <w:rPr>
            <w:noProof/>
            <w:webHidden/>
          </w:rPr>
          <w:fldChar w:fldCharType="end"/>
        </w:r>
      </w:hyperlink>
    </w:p>
    <w:p w14:paraId="3F2234AE" w14:textId="25ADF0ED" w:rsidR="001D15FC" w:rsidRDefault="001D15FC">
      <w:pPr>
        <w:pStyle w:val="TOC1"/>
        <w:rPr>
          <w:rFonts w:asciiTheme="minorHAnsi" w:eastAsiaTheme="minorEastAsia" w:hAnsiTheme="minorHAnsi" w:cstheme="minorBidi"/>
          <w:b w:val="0"/>
          <w:caps w:val="0"/>
          <w:noProof/>
          <w:kern w:val="2"/>
          <w:szCs w:val="24"/>
          <w:lang w:val="en-US"/>
          <w14:ligatures w14:val="standardContextual"/>
        </w:rPr>
      </w:pPr>
      <w:hyperlink w:anchor="_Toc243470633" w:history="1">
        <w:r w:rsidRPr="00495FD9">
          <w:rPr>
            <w:rStyle w:val="Hyperlink"/>
            <w:noProof/>
          </w:rPr>
          <w:t>APÊNDICE J — SÍNTESE DE FISCHER E KRAUSS (2018)</w:t>
        </w:r>
        <w:r>
          <w:rPr>
            <w:noProof/>
            <w:webHidden/>
          </w:rPr>
          <w:tab/>
        </w:r>
        <w:r>
          <w:rPr>
            <w:noProof/>
            <w:webHidden/>
          </w:rPr>
          <w:fldChar w:fldCharType="begin"/>
        </w:r>
        <w:r>
          <w:rPr>
            <w:noProof/>
            <w:webHidden/>
          </w:rPr>
          <w:instrText xml:space="preserve"> PAGEREF _Toc243470633 \h </w:instrText>
        </w:r>
        <w:r>
          <w:rPr>
            <w:noProof/>
            <w:webHidden/>
          </w:rPr>
        </w:r>
        <w:r>
          <w:rPr>
            <w:noProof/>
            <w:webHidden/>
          </w:rPr>
          <w:fldChar w:fldCharType="separate"/>
        </w:r>
        <w:r>
          <w:rPr>
            <w:noProof/>
            <w:webHidden/>
          </w:rPr>
          <w:t>46</w:t>
        </w:r>
        <w:r>
          <w:rPr>
            <w:noProof/>
            <w:webHidden/>
          </w:rPr>
          <w:fldChar w:fldCharType="end"/>
        </w:r>
      </w:hyperlink>
    </w:p>
    <w:p w14:paraId="0D66249E" w14:textId="1E4BCFDA" w:rsidR="00DB072F" w:rsidRDefault="0053141D">
      <w:pPr>
        <w:pStyle w:val="Reviso2Toc"/>
      </w:pPr>
      <w:r>
        <w:fldChar w:fldCharType="end"/>
      </w:r>
    </w:p>
    <w:p w14:paraId="22977D45" w14:textId="77777777" w:rsidR="00DB072F" w:rsidRDefault="0053141D">
      <w:pPr>
        <w:pStyle w:val="Reviso2Chapter"/>
      </w:pPr>
      <w:bookmarkStart w:id="0" w:name="_Toc243470579"/>
      <w:r>
        <w:lastRenderedPageBreak/>
        <w:t>1 INTRODUÇÃO</w:t>
      </w:r>
      <w:bookmarkEnd w:id="0"/>
    </w:p>
    <w:p w14:paraId="28AD7890" w14:textId="77777777" w:rsidR="00DB072F" w:rsidRDefault="0053141D">
      <w:pPr>
        <w:pStyle w:val="Reviso2Body"/>
      </w:pPr>
      <w:r>
        <w:t>A gestão do risco de mercado avalia como as variações de preços podem afetar uma posição financeira. A previsão do retorno médio ajuda nessa análise, mas não descreve a magnitude das perdas em condições desfavoráveis. O Value at Risk (VaR) e o Expected Shortfall (ES) tratam de aspectos complementares dessas perdas: o quantil e a cauda da distribuição. Seu uso exige definições e critérios de avaliação compatíveis com a exposição estudada (Acerbi; Tasche, 2002).</w:t>
      </w:r>
    </w:p>
    <w:p w14:paraId="21F70481" w14:textId="77777777" w:rsidR="00DB072F" w:rsidRDefault="0053141D">
      <w:pPr>
        <w:pStyle w:val="Reviso2Body"/>
      </w:pPr>
      <w:r>
        <w:t>Uma carteira do agronegócio brasileiro reúne riscos de naturezas diferentes. As ações refletem as condições operacionais e financeiras das empresas; as commodities respondem a oferta, demanda, estoques e clima; e o câmbio altera o valor em reais dos preços internacionais, além de afetar receitas, custos e dívidas. As relações entre esses componentes podem mudar ao longo do tempo. Gorton, Hayashi e Rouwenhorst (2013), Ubilava (2012) e Campani e Durães (2018) examinam aspectos dessas exposições e ajudam a fundamentar a análise da carteira proposta.</w:t>
      </w:r>
    </w:p>
    <w:p w14:paraId="1C749AB0" w14:textId="77777777" w:rsidR="00DB072F" w:rsidRDefault="0053141D">
      <w:pPr>
        <w:pStyle w:val="Reviso2Body"/>
      </w:pPr>
      <w:r>
        <w:t>Este trabalho combina Hidden Markov Models (HMM) e redes Long Short-Term Memory (LSTM) para prever o risco de um índice de exposição ao agronegócio brasileiro. O HMM identifica estados latentes de mercado, que entram na LSTM como informação adicional para prever o retorno. Os erros de previsão são calibrados para calcular as medidas de risco. A comparação com uma LSTM sem regimes e com o MS-GARCH permite avaliar se essa combinação melhora as previsões, sobretudo nos períodos de maior volatilidade.</w:t>
      </w:r>
    </w:p>
    <w:p w14:paraId="405F12E7" w14:textId="77777777" w:rsidR="00DB072F" w:rsidRDefault="0053141D">
      <w:pPr>
        <w:pStyle w:val="Reviso2Heading"/>
      </w:pPr>
      <w:bookmarkStart w:id="1" w:name="_Toc243470580"/>
      <w:r>
        <w:t>1.1 Problema de pesquisa</w:t>
      </w:r>
      <w:bookmarkEnd w:id="1"/>
    </w:p>
    <w:p w14:paraId="1A64EDE7" w14:textId="77777777" w:rsidR="00DB072F" w:rsidRDefault="0053141D">
      <w:pPr>
        <w:pStyle w:val="Reviso2Body"/>
      </w:pPr>
      <w:r>
        <w:t>Os modelos ARCH e GARCH descrevem a volatilidade a partir de choques e variâncias passadas. Modelos de mudança de regime permitem que a dinâmica também dependa de estados latentes (Engle, 1982; Bollerslev, 1986; Hamilton, 1989). As redes LSTM aprendem relações temporais por outro mecanismo, cuja aplicação depende do alvo, do tamanho da amostra e da avaliação fora dela (Hochreiter; Schmidhuber, 1997; Fischer; Krauss, 2018). A pesquisa examina se a informação de regime acrescenta capacidade preditiva à rede.</w:t>
      </w:r>
    </w:p>
    <w:p w14:paraId="2D07836C" w14:textId="77777777" w:rsidR="00DB072F" w:rsidRDefault="0053141D">
      <w:pPr>
        <w:pStyle w:val="Reviso2Body"/>
      </w:pPr>
      <w:r>
        <w:t xml:space="preserve">Combinações entre HMM, redes recorrentes e risco financeiro já possuem antecedentes, como De Mel (2026) e Arimond et al. (2026). A contribuição pretendida deste estudo está na avaliação de uma configuração aplicada a uma exposição ao agronegócio brasileiro, com atenção à construção das séries, à disponibilidade temporal da informação e à calibração das medidas de cauda. A questão de pesquisa é: incorporar a informação de regime de um HMM à </w:t>
      </w:r>
      <w:r>
        <w:lastRenderedPageBreak/>
        <w:t>previsão de uma rede LSTM melhora as estimativas de VaR e ES dessa exposição, em comparação com modelos que utilizam informações compatíveis, especialmente nos períodos de maior volatilidade?</w:t>
      </w:r>
    </w:p>
    <w:p w14:paraId="14498B2C" w14:textId="77777777" w:rsidR="00DB072F" w:rsidRDefault="0053141D">
      <w:pPr>
        <w:pStyle w:val="Reviso2Body"/>
      </w:pPr>
      <w:r>
        <w:t>H1: a HMM-LSTM apresenta VaR a 95% e 99% com frequência de violações compatível com a nominal pelo teste de Kupiec e desempenho superior ou equivalente ao MS-GARCH. A cobertura e a comparação dos escores são examinadas separadamente, pois a não rejeição de cobertura não demonstra equivalência entre modelos.</w:t>
      </w:r>
    </w:p>
    <w:p w14:paraId="646CCEA7" w14:textId="77777777" w:rsidR="00DB072F" w:rsidRDefault="0053141D">
      <w:pPr>
        <w:pStyle w:val="Reviso2Body"/>
      </w:pPr>
      <w:r>
        <w:t>H2: no estado de maior volatilidade, identificado com informações disponíveis na origem da previsão, a HMM-LSTM apresenta menor erro de cobertura e violações menos agrupadas que o MS-GARCH. A avaliação considera o número de eventos e mantém a distância entre as sessões do calendário original.</w:t>
      </w:r>
    </w:p>
    <w:p w14:paraId="3D40DB4C" w14:textId="77777777" w:rsidR="00DB072F" w:rsidRDefault="0053141D">
      <w:pPr>
        <w:pStyle w:val="Reviso2Body"/>
      </w:pPr>
      <w:r>
        <w:t>H3: nos demais regimes, a HMM-LSTM não apresenta perda estatisticamente significativa de desempenho frente ao MS-GARCH, segundo o teste de Diebold–Mariano aplicado aos escores de risco.</w:t>
      </w:r>
    </w:p>
    <w:p w14:paraId="7C29CB65" w14:textId="77777777" w:rsidR="00DB072F" w:rsidRDefault="0053141D">
      <w:pPr>
        <w:pStyle w:val="Reviso2Body"/>
      </w:pPr>
      <w:r>
        <w:t>As três hipóteses separam a frequência de violações, o desempenho no estresse e a precisão nos demais regimes. O teste de Diebold–Mariano compara escores de previsão; a ausência de rejeição não demonstra equivalência nem não inferioridade econômica, que exigiria uma margem previamente definida. O ES recebe avaliação própria da severidade das perdas (Acerbi; Székely, 2014).</w:t>
      </w:r>
    </w:p>
    <w:p w14:paraId="6A6CEB42" w14:textId="77777777" w:rsidR="00DB072F" w:rsidRDefault="0053141D">
      <w:pPr>
        <w:pStyle w:val="Reviso2Heading"/>
      </w:pPr>
      <w:bookmarkStart w:id="2" w:name="_Toc243470581"/>
      <w:r>
        <w:t>1.2 Objetivos</w:t>
      </w:r>
      <w:bookmarkEnd w:id="2"/>
    </w:p>
    <w:p w14:paraId="6F8A2FB2" w14:textId="77777777" w:rsidR="00DB072F" w:rsidRDefault="0053141D">
      <w:pPr>
        <w:pStyle w:val="Reviso2Subheading"/>
      </w:pPr>
      <w:bookmarkStart w:id="3" w:name="_Toc243470582"/>
      <w:r>
        <w:t>1.2.1 Objetivo geral</w:t>
      </w:r>
      <w:bookmarkEnd w:id="3"/>
    </w:p>
    <w:p w14:paraId="2354AF02" w14:textId="77777777" w:rsidR="00DB072F" w:rsidRDefault="0053141D">
      <w:pPr>
        <w:pStyle w:val="Reviso2Body"/>
      </w:pPr>
      <w:r>
        <w:t>Avaliar se a incorporação de informação de regime de um HMM a uma rede LSTM acrescenta capacidade de previsão de VaR e ES de uma exposição igualmente ponderada ao agronegócio brasileiro, por meio de comparação temporalmente compatível com uma LSTM sem regimes e com o MS-GARCH.</w:t>
      </w:r>
    </w:p>
    <w:p w14:paraId="02CAB693" w14:textId="77777777" w:rsidR="00DB072F" w:rsidRDefault="0053141D">
      <w:pPr>
        <w:pStyle w:val="Reviso2Subheading"/>
      </w:pPr>
      <w:bookmarkStart w:id="4" w:name="_Toc243470583"/>
      <w:r>
        <w:t>1.2.2 Objetivos específicos</w:t>
      </w:r>
      <w:bookmarkEnd w:id="4"/>
    </w:p>
    <w:p w14:paraId="35CAC686" w14:textId="77777777" w:rsidR="00DB072F" w:rsidRDefault="0053141D">
      <w:pPr>
        <w:pStyle w:val="Reviso2Body"/>
      </w:pPr>
      <w:r>
        <w:t>OE1 — Construir uma base diária com quatro ações ligadas ao agronegócio, referências de futuros de soja e café arábica e USD/BRL, registrando unidades, ajustes, cobertura e limitações de disponibilidade das informações.</w:t>
      </w:r>
    </w:p>
    <w:p w14:paraId="3F2EC119" w14:textId="77777777" w:rsidR="00DB072F" w:rsidRDefault="0053141D">
      <w:pPr>
        <w:pStyle w:val="Reviso2Body"/>
      </w:pPr>
      <w:r>
        <w:t>OE2 — Estimar HMM gaussianos em janelas de treinamento, comparar especificações com diferentes números de estados e caracterizar suas distribuições e transições, utilizando filtragem causal na produção das informações preditivas.</w:t>
      </w:r>
    </w:p>
    <w:p w14:paraId="7FB2B252" w14:textId="77777777" w:rsidR="00DB072F" w:rsidRDefault="0053141D">
      <w:pPr>
        <w:pStyle w:val="Reviso2Body"/>
      </w:pPr>
      <w:r>
        <w:lastRenderedPageBreak/>
        <w:t>OE3 — Treinar e avaliar LSTM com e sem informação de regime, em janelas walk-forward, preservando a ordem temporal da seleção de variáveis, padronização, escolha do modelo e previsão do retorno seguinte.</w:t>
      </w:r>
    </w:p>
    <w:p w14:paraId="056FF69E" w14:textId="77777777" w:rsidR="00DB072F" w:rsidRDefault="0053141D">
      <w:pPr>
        <w:pStyle w:val="Reviso2Body"/>
      </w:pPr>
      <w:r>
        <w:t>OE4 — Calibrar os erros de previsão para calcular VaR e ES a 95% e 99%, comparando as redes com FHS-EWMA de média zero e MS-GARCH nas mesmas datas de teste.</w:t>
      </w:r>
    </w:p>
    <w:p w14:paraId="3354C492" w14:textId="77777777" w:rsidR="00DB072F" w:rsidRDefault="0053141D">
      <w:pPr>
        <w:pStyle w:val="Reviso2Body"/>
      </w:pPr>
      <w:r>
        <w:t>OE5 — Examinar, como etapa complementar, a interpretação das relações aprendidas pela rede e suas diferenças entre estados de mercado, sem atribuir automaticamente significado causal às contribuições das variáveis.</w:t>
      </w:r>
    </w:p>
    <w:p w14:paraId="5605DF38" w14:textId="77777777" w:rsidR="00DB072F" w:rsidRDefault="0053141D">
      <w:pPr>
        <w:pStyle w:val="Reviso2Heading"/>
      </w:pPr>
      <w:bookmarkStart w:id="5" w:name="_Toc243470584"/>
      <w:r>
        <w:t>1.3 Justificativa</w:t>
      </w:r>
      <w:bookmarkEnd w:id="5"/>
    </w:p>
    <w:p w14:paraId="3A513A71" w14:textId="77777777" w:rsidR="00DB072F" w:rsidRDefault="0053141D">
      <w:pPr>
        <w:pStyle w:val="Reviso2Body"/>
      </w:pPr>
      <w:r>
        <w:t>O estudo avalia os ganhos e os limites da integração entre HMM e LSTM. As aplicações de redes recorrentes e modelos de regime apresentam resultados que dependem do mercado, do alvo e da avaliação adotada. Comparar os modelos nas mesmas datas, com informações e critérios de perda compatíveis, permite examinar quando a combinação ajuda e quando uma referência mais simples apresenta resultado melhor.</w:t>
      </w:r>
    </w:p>
    <w:p w14:paraId="593BC562" w14:textId="77777777" w:rsidR="00DB072F" w:rsidRDefault="0053141D">
      <w:pPr>
        <w:pStyle w:val="Reviso2Body"/>
      </w:pPr>
      <w:r>
        <w:t>A aplicação ao agronegócio permite analisar conjuntamente preços internacionais, câmbio e ações de empresas do setor. Como contratos futuros, séries contínuas e indicadores físicos representam exposições distintas, suas diferenças precisam aparecer na construção do índice e na interpretação dos resultados. O índice serve à análise de risco proposta; sua avaliação não equivale à recomendação de uma carteira operacional ou de uma estratégia de hedge para as empresas.</w:t>
      </w:r>
    </w:p>
    <w:p w14:paraId="6510339D" w14:textId="77777777" w:rsidR="00DB072F" w:rsidRDefault="0053141D">
      <w:pPr>
        <w:pStyle w:val="Reviso2Body"/>
      </w:pPr>
      <w:r>
        <w:t>Na Engenharia de Produção, o estudo aplica modelagem estatística e programação à avaliação de decisões sob incerteza. A comparação entre redes e modelos econométricos permite examinar se a complexidade adicional melhora a mensuração de perdas. O registro das séries, das divisões temporais e dos critérios de avaliação torna essas escolhas verificáveis.</w:t>
      </w:r>
    </w:p>
    <w:p w14:paraId="39990745" w14:textId="77777777" w:rsidR="00F052CA" w:rsidRDefault="00D2386F">
      <w:pPr>
        <w:pStyle w:val="Reviso2Body"/>
      </w:pPr>
      <w:r>
        <w:t>A relação com os Objetivos de Desenvolvimento Sustentável é indireta: o ODS 8 situa a discussão sobre risco e planejamento econômico; o ODS 9 se relaciona à pesquisa aplicada em métodos de análise; e o ODS 12 oferece um contexto para discutir decisões nas cadeias produtivas (Nações Unidas Brasil, s.d.a, s.d.b, s.d.c). A avaliação realizada mede desempenho preditivo financeiro, sem estimar efeitos sobre emprego, crescimento econômico, uso de recursos naturais ou práticas de produção sustentável.</w:t>
      </w:r>
    </w:p>
    <w:p w14:paraId="3EB8B7DC" w14:textId="77777777" w:rsidR="00DB072F" w:rsidRDefault="0053141D">
      <w:pPr>
        <w:pStyle w:val="Reviso2Chapter"/>
      </w:pPr>
      <w:bookmarkStart w:id="6" w:name="_Toc243470585"/>
      <w:r>
        <w:lastRenderedPageBreak/>
        <w:t>2 REVISÃO DA LITERATURA</w:t>
      </w:r>
      <w:bookmarkEnd w:id="6"/>
    </w:p>
    <w:p w14:paraId="4F724BF0" w14:textId="77777777" w:rsidR="00DB072F" w:rsidRDefault="0053141D">
      <w:pPr>
        <w:pStyle w:val="Reviso2Body"/>
      </w:pPr>
      <w:r>
        <w:t>Prever o retorno médio não basta para avaliar o risco de mercado. Decisões de exposição e proteção também dependem da frequência e da magnitude das perdas. Em uma carteira do agronegócio brasileiro, ações, commodities e câmbio compartilham alguns fatores de risco, mas representam posições econômicas distintas. Esta revisão relaciona essas exposições às propriedades dos retornos e aos modelos usados para estimar o risco.</w:t>
      </w:r>
    </w:p>
    <w:p w14:paraId="6ED807EF" w14:textId="77777777" w:rsidR="00DB072F" w:rsidRDefault="0053141D">
      <w:pPr>
        <w:pStyle w:val="Reviso2Body"/>
      </w:pPr>
      <w:r>
        <w:t>O capítulo relaciona volatilidade condicional, mudanças de regime e redes recorrentes à construção e à avaliação de previsões de risco. A sequência acompanha as decisões do experimento: definir a exposição, prever o retorno, representar a cauda e comparar os modelos fora da amostra.</w:t>
      </w:r>
    </w:p>
    <w:p w14:paraId="70B53C2E" w14:textId="77777777" w:rsidR="00DB072F" w:rsidRDefault="0053141D">
      <w:pPr>
        <w:pStyle w:val="Reviso2Heading"/>
      </w:pPr>
      <w:bookmarkStart w:id="7" w:name="_Toc243470586"/>
      <w:r>
        <w:t>2.1 Delimitação e organização da revisão</w:t>
      </w:r>
      <w:bookmarkEnd w:id="7"/>
    </w:p>
    <w:p w14:paraId="73D2A153" w14:textId="77777777" w:rsidR="00DB072F" w:rsidRDefault="0053141D">
      <w:pPr>
        <w:pStyle w:val="Reviso2Body"/>
      </w:pPr>
      <w:r>
        <w:t>A revisão é narrativa e crítica. Reúne os trabalhos que fundamentam os métodos, suas aplicações financeiras e os documentos das instituições responsáveis pelos indicadores. A seleção considera a contribuição de cada fonte para estimar o risco da carteira e justificar as escolhas da pesquisa, incluindo os fundamentos de volatilidade condicional, estados latentes e cobertura de quantis.</w:t>
      </w:r>
    </w:p>
    <w:p w14:paraId="7283EDA7" w14:textId="77777777" w:rsidR="00DB072F" w:rsidRDefault="0053141D">
      <w:pPr>
        <w:pStyle w:val="Reviso2Body"/>
      </w:pPr>
      <w:r>
        <w:t>A leitura distingue previsão de retorno, de volatilidade e de risco de cauda. Cada tarefa exige critérios próprios. O acerto da direção dos preços, por exemplo, não demonstra que uma rede estima quantis bem calibrados. Da mesma forma, reduzir o erro de previsão da volatilidade não garante uma estimativa adequada das perdas extremas. Essa distinção orienta o uso das evidências publicadas.</w:t>
      </w:r>
    </w:p>
    <w:p w14:paraId="4A410D4A" w14:textId="77777777" w:rsidR="00DB072F" w:rsidRDefault="0053141D">
      <w:pPr>
        <w:pStyle w:val="Reviso2Body"/>
      </w:pPr>
      <w:r>
        <w:t>As fontes são examinadas pelo mercado e pela variável estudados, pela organização temporal dos dados, pelos modelos de comparação e pelo alcance dos resultados. Documentos metodológicos esclarecem o significado das séries; estudos empíricos mostram aplicações; e trabalhos teóricos fundamentam estimadores e testes. A revisão procura sustentar as decisões do estudo, sem medir a produção bibliográfica do campo ou afirmar que não existem trabalhos semelhantes.</w:t>
      </w:r>
    </w:p>
    <w:p w14:paraId="3CA79FD5" w14:textId="77777777" w:rsidR="00DB072F" w:rsidRDefault="0053141D">
      <w:pPr>
        <w:pStyle w:val="Reviso2Heading"/>
      </w:pPr>
      <w:bookmarkStart w:id="8" w:name="_Toc243470587"/>
      <w:r>
        <w:t>2.2 Risco de mercado em uma carteira do agronegócio brasileiro</w:t>
      </w:r>
      <w:bookmarkEnd w:id="8"/>
    </w:p>
    <w:p w14:paraId="05AB80F4" w14:textId="77777777" w:rsidR="00DB072F" w:rsidRDefault="0053141D">
      <w:pPr>
        <w:pStyle w:val="Reviso2Subheading"/>
      </w:pPr>
      <w:bookmarkStart w:id="9" w:name="_Toc243470588"/>
      <w:r>
        <w:t>2.2.1 Exposições a commodities, ações e câmbio</w:t>
      </w:r>
      <w:bookmarkEnd w:id="9"/>
    </w:p>
    <w:p w14:paraId="1F7ECA90" w14:textId="77777777" w:rsidR="00DB072F" w:rsidRDefault="0053141D">
      <w:pPr>
        <w:pStyle w:val="Reviso2Body"/>
      </w:pPr>
      <w:r>
        <w:t xml:space="preserve">Os componentes de uma carteira do agronegócio não reagem da mesma forma aos preços agrícolas. A alta de um produto pode elevar a receita de quem o produz e pressionar o </w:t>
      </w:r>
      <w:r>
        <w:lastRenderedPageBreak/>
        <w:t>custo de quem o utiliza como insumo. Nas companhias abertas, esses efeitos dependem também de dívidas, receitas, custos e decisões de investimento. A ligação setorial, portanto, não garante comportamento semelhante dos ativos nem diversificação estável.</w:t>
      </w:r>
    </w:p>
    <w:p w14:paraId="5E2DB972" w14:textId="77777777" w:rsidR="00DB072F" w:rsidRDefault="0053141D">
      <w:pPr>
        <w:pStyle w:val="Reviso2Body"/>
      </w:pPr>
      <w:r>
        <w:t>A literatura de commodities ajuda a compreender por que essas relações variam. Gorton, Hayashi e Rouwenhorst (2013) relacionam os prêmios de risco dos contratos futuros às condições dos estoques e mostram a relevância da base e de outras informações de preços para esse mercado. A interpretação econômica é que a disponibilidade física do produto altera o valor de mantê-lo e a remuneração exigida pelos participantes. Assim, uma mudança na curva de vencimentos não representa apenas um detalhe de construção da série: pode refletir condições distintas de oferta, demanda e armazenamento.</w:t>
      </w:r>
    </w:p>
    <w:p w14:paraId="1B304107" w14:textId="77777777" w:rsidR="00DB072F" w:rsidRDefault="0053141D">
      <w:pPr>
        <w:pStyle w:val="Reviso2Body"/>
      </w:pPr>
      <w:r>
        <w:t>Ubilava (2012) analisa os efeitos do El Niño e da La Niña nos preços mundiais do café, com dados mensais de março de 1989 a dezembro de 2010 e um modelo autorregressivo com transição suave. Os efeitos de curto prazo identificados sugerem uma dinâmica não linear dos preços. O estudo ajuda a justificar a atenção às mudanças de mercado, embora seus resultados se restrinjam ao café e à frequência mensal, sem avaliar o VaR diário de uma carteira brasileira.</w:t>
      </w:r>
    </w:p>
    <w:p w14:paraId="253B71A0" w14:textId="77777777" w:rsidR="00DB072F" w:rsidRDefault="0053141D">
      <w:pPr>
        <w:pStyle w:val="Reviso2Body"/>
      </w:pPr>
      <w:r>
        <w:t>Para o investidor que mede patrimônio em reais, o câmbio modifica a exposição aos ativos cotados em dólares. Se P em USD representa o preço de referência de uma commodity e E representa a quantidade de reais por dólar, o preço equivalente em reais é obtido pelo produto dessas duas grandezas. Consequentemente, o retorno logarítmico dessa referência em reais reúne a variação do preço em dólares e a variação cambial. Essa identidade contábil não elimina a necessidade de sincronizar os horários das cotações, pois preços associados à mesma data podem ter sido observados em momentos diferentes.</w:t>
      </w:r>
    </w:p>
    <w:p w14:paraId="7482D6EC" w14:textId="77777777" w:rsidR="00DB072F" w:rsidRDefault="0053141D">
      <w:pPr>
        <w:pStyle w:val="Reviso2Body"/>
      </w:pPr>
      <w:r>
        <w:t>A inclusão de USD/BRL como componente da carteira acrescenta exposição cambial à já presente nas commodities convertidas para reais. Essa sobreposição precisa ser considerada na análise dos pesos e do risco. Ter sete séries distintas não significa ter sete fontes independentes de incerteza.</w:t>
      </w:r>
    </w:p>
    <w:p w14:paraId="5A7C06BB" w14:textId="77777777" w:rsidR="00DB072F" w:rsidRDefault="0053141D">
      <w:pPr>
        <w:pStyle w:val="Reviso2Subheading"/>
      </w:pPr>
      <w:bookmarkStart w:id="10" w:name="_Toc243470589"/>
      <w:r>
        <w:t>2.2.2 Contratos futuros, séries contínuas e mercado físico</w:t>
      </w:r>
      <w:bookmarkEnd w:id="10"/>
    </w:p>
    <w:p w14:paraId="631B1C75" w14:textId="77777777" w:rsidR="00DB072F" w:rsidRDefault="0053141D">
      <w:pPr>
        <w:pStyle w:val="Reviso2Body"/>
      </w:pPr>
      <w:r>
        <w:t xml:space="preserve">Os contratos futuros possuem vencimento, o que exige uma regra para acompanhar uma exposição ao longo de vários anos. Segundo a CME Group (s.d.), a rolagem envolve encerrar a posição em um vencimento e estabelecer outra em um contrato posterior; o volume negociado pode auxiliar a escolha do momento da transição. A construção de uma série contínua, porém, requer decisões adicionais sobre qual vencimento utilizar, quando substituí-lo e como tratar a </w:t>
      </w:r>
      <w:r>
        <w:lastRenderedPageBreak/>
        <w:t>diferença entre os preços dos contratos. Também exige observar as regras de entrega e os limites operacionais específicos de cada instrumento.</w:t>
      </w:r>
    </w:p>
    <w:p w14:paraId="221F9D41" w14:textId="77777777" w:rsidR="00DB072F" w:rsidRDefault="0053141D">
      <w:pPr>
        <w:pStyle w:val="Reviso2Body"/>
      </w:pPr>
      <w:r>
        <w:t>Quando uma série troca simplesmente o contrato antigo pelo novo, o retorno calculado entre as duas datas pode combinar a mudança efetiva do mercado com a diferença entre vencimentos. Essa descontinuidade pode contaminar medidas de volatilidade, a identificação de regimes e a estimação das caudas. Ajustes por diferença ou por razão procuram tratar o problema, mas não têm os mesmos efeitos sobre níveis e variações percentuais. A escolha precisa corresponder à variável analisada e ser documentada com preços simultâneos dos contratos, sem apagar movimentos extremos apenas por parecerem inconvenientes.</w:t>
      </w:r>
    </w:p>
    <w:p w14:paraId="31E09DE8" w14:textId="77777777" w:rsidR="00DB072F" w:rsidRDefault="0053141D">
      <w:pPr>
        <w:pStyle w:val="Reviso2Body"/>
      </w:pPr>
      <w:r>
        <w:t>Uma regra baseada em liquidez também exige atenção à informação disponível no momento da decisão. Se o volume total do dia define qual contrato será escolhido para a posição que supostamente já estava aberta naquele mesmo dia, a análise pode incorporar informação posterior à decisão. O mesmo cuidado vale para indicadores calculados com preços de fechamento de bolsas diferentes. A validade de uma regra de rolagem depende, portanto, de sua interpretação temporal, e não apenas de produzir uma trajetória visualmente mais contínua.</w:t>
      </w:r>
    </w:p>
    <w:p w14:paraId="11169836" w14:textId="77777777" w:rsidR="00DB072F" w:rsidRDefault="0053141D">
      <w:pPr>
        <w:pStyle w:val="Reviso2Body"/>
      </w:pPr>
      <w:r>
        <w:t>Uma série contínua de preços não reproduz todo o resultado de uma posição em futuros. Esse resultado depende de contratos, multiplicadores, ajustes diários, garantias, custos e rolagem. O índice de variações percentuais adotado aproxima a exposição conjunta, mas não inclui toda essa contabilidade. As relações entre estoques, curva e retornos discutidas por Gorton, Hayashi e Rouwenhorst (2013) ajudam a distinguir essas interpretações.</w:t>
      </w:r>
    </w:p>
    <w:p w14:paraId="2ADA1BAC" w14:textId="77777777" w:rsidR="00DB072F" w:rsidRDefault="0053141D">
      <w:pPr>
        <w:pStyle w:val="Reviso2Body"/>
      </w:pPr>
      <w:r>
        <w:t>Os indicadores do Centro de Estudos Avançados em Economia Aplicada (Cepea) representam outra natureza de informação. A metodologia da soja de Paranaguá define produto, praça, condições comerciais e procedimentos de coleta; por isso, o indicador se refere a uma referência do mercado físico, ainda que possa se relacionar à liquidação de instrumentos financeiros (Cepea, s.d.). Empregar um indicador físico em lugar de um futuro altera a exposição estudada e envolve diferenças de qualidade, localização, prazo e formação de preços. Essa alternativa pode ser pertinente em uma análise própria, mas não deve ser apresentada como simples correção técnica de uma série futura.</w:t>
      </w:r>
    </w:p>
    <w:p w14:paraId="0C6456FA" w14:textId="77777777" w:rsidR="00DB072F" w:rsidRDefault="0053141D">
      <w:pPr>
        <w:pStyle w:val="Reviso2Heading"/>
      </w:pPr>
      <w:bookmarkStart w:id="11" w:name="_Toc243470590"/>
      <w:r>
        <w:t>2.3 Retornos, volatilidade e informação de mercado</w:t>
      </w:r>
      <w:bookmarkEnd w:id="11"/>
    </w:p>
    <w:p w14:paraId="00695EDC" w14:textId="77777777" w:rsidR="00DB072F" w:rsidRDefault="0053141D">
      <w:pPr>
        <w:pStyle w:val="Reviso2Subheading"/>
      </w:pPr>
      <w:bookmarkStart w:id="12" w:name="_Toc243470591"/>
      <w:r>
        <w:t>2.3.1 Retorno da carteira e fatos estilizados</w:t>
      </w:r>
      <w:bookmarkEnd w:id="12"/>
    </w:p>
    <w:p w14:paraId="6568CD93" w14:textId="77777777" w:rsidR="00DB072F" w:rsidRDefault="0053141D">
      <w:pPr>
        <w:pStyle w:val="Reviso2Body"/>
      </w:pPr>
      <w:r>
        <w:t xml:space="preserve">O retorno simples de um ativo mede a variação relativa do preço entre dois instantes, enquanto o retorno logarítmico corresponde ao logaritmo da razão entre esses preços. Para </w:t>
      </w:r>
      <w:r>
        <w:lastRenderedPageBreak/>
        <w:t>preços positivos, as duas medidas se relacionam por uma transformação conhecida. A distinção importa porque os retornos logarítmicos são aditivos no tempo, mas não são diretamente aditivos entre ativos de uma carteira. Em uma carteira com pesos definidos antes do período, o retorno simples é a soma ponderada dos retornos simples dos componentes; o logaritmo do retorno bruto dessa carteira deve ser calculado depois da agregação.</w:t>
      </w:r>
    </w:p>
    <w:p w14:paraId="00A36E54" w14:textId="77777777" w:rsidR="00DB072F" w:rsidRDefault="0053141D">
      <w:pPr>
        <w:pStyle w:val="Reviso2Body"/>
        <w:keepLines/>
        <w:ind w:firstLine="0"/>
        <w:jc w:val="center"/>
      </w:pPr>
      <m:oMathPara>
        <m:oMath>
          <m:r>
            <w:rPr>
              <w:rFonts w:ascii="Cambria Math" w:hAnsi="Cambria Math"/>
            </w:rPr>
            <m:t>Rₚ,ₜ = Σᵢ wᵢ,ₜ₋₁Rᵢ,ₜ     e     rₚ,ₜ = ln(1 + Rₚ,ₜ)</m:t>
          </m:r>
        </m:oMath>
      </m:oMathPara>
    </w:p>
    <w:p w14:paraId="18CC39ED" w14:textId="77777777" w:rsidR="00DB072F" w:rsidRDefault="0053141D">
      <w:pPr>
        <w:pStyle w:val="Reviso2Body"/>
      </w:pPr>
      <w:r>
        <w:t>Nessa expressão, R representa o retorno simples, r o retorno logarítmico e w o peso do ativo no início do período. A representação pressupõe uma definição compatível de patrimônio e de retorno para todos os componentes. Quando parte das séries representa referências contínuas de futuros, a interpretação como carteira operacional depende das convenções financeiras discutidas anteriormente. A fórmula organiza a mensuração do índice, mas não substitui a definição econômica da exposição.</w:t>
      </w:r>
    </w:p>
    <w:p w14:paraId="6DD6EF6B" w14:textId="77777777" w:rsidR="00DB072F" w:rsidRDefault="0053141D">
      <w:pPr>
        <w:pStyle w:val="Reviso2Body"/>
      </w:pPr>
      <w:r>
        <w:t>Cont (2001) reúne propriedades recorrentes em séries de retornos, entre elas caudas pesadas, agrupamento de volatilidade e formas de dependência que não se resumem à autocorrelação linear. A baixa previsibilidade da direção de um retorno não implica ausência de previsibilidade em sua intensidade. Períodos de grandes variações podem ser seguidos por outros períodos de instabilidade, mesmo quando o sinal do movimento seguinte permanece difícil de antecipar. Essa diferença explica por que prever risco e prever a valorização de um ativo são tarefas relacionadas, mas distintas.</w:t>
      </w:r>
    </w:p>
    <w:p w14:paraId="69ABDBA9" w14:textId="77777777" w:rsidR="00DB072F" w:rsidRDefault="0053141D">
      <w:pPr>
        <w:pStyle w:val="Reviso2Body"/>
      </w:pPr>
      <w:r>
        <w:t>Uma distribuição de retornos observada por muitos anos reúne períodos de baixa e alta volatilidade. Essa mistura explica parte da dispersão total, mas não garante que os extremos estejam bem representados em cada período. Por isso, a identificação dos estados e o tratamento da cauda precisam ser avaliados em conjunto.</w:t>
      </w:r>
    </w:p>
    <w:p w14:paraId="0116C754" w14:textId="77777777" w:rsidR="00DB072F" w:rsidRDefault="0053141D">
      <w:pPr>
        <w:pStyle w:val="Reviso2Subheading"/>
      </w:pPr>
      <w:bookmarkStart w:id="13" w:name="_Toc243470592"/>
      <w:r>
        <w:t>2.3.2 Volatilidade condicional e medidas auxiliares</w:t>
      </w:r>
      <w:bookmarkEnd w:id="13"/>
    </w:p>
    <w:p w14:paraId="61E98854" w14:textId="77777777" w:rsidR="00DB072F" w:rsidRDefault="0053141D">
      <w:pPr>
        <w:pStyle w:val="Reviso2Body"/>
      </w:pPr>
      <w:r>
        <w:t>Engle (1982) introduz a estrutura ARCH, na qual a variância condicional depende de informações passadas dos erros. Bollerslev (1986) amplia essa ideia com o GARCH, incorporando variâncias condicionais defasadas. No caso GARCH(1,1), uma formulação usual combina uma constante positiva, o choque quadrático anterior e a variância do período anterior. A estrutura permite representar persistência e atualização do risco de maneira relativamente parcimoniosa.</w:t>
      </w:r>
    </w:p>
    <w:p w14:paraId="571FDBCD" w14:textId="77777777" w:rsidR="00DB072F" w:rsidRDefault="0053141D">
      <w:pPr>
        <w:pStyle w:val="Reviso2Body"/>
        <w:keepLines/>
        <w:ind w:firstLine="0"/>
        <w:jc w:val="center"/>
      </w:pPr>
      <m:oMathPara>
        <m:oMath>
          <m:r>
            <w:rPr>
              <w:rFonts w:ascii="Cambria Math" w:hAnsi="Cambria Math"/>
            </w:rPr>
            <m:t>hₜ = ω + αε²ₜ₋₁ + βhₜ₋₁</m:t>
          </m:r>
        </m:oMath>
      </m:oMathPara>
    </w:p>
    <w:p w14:paraId="7C40323E" w14:textId="77777777" w:rsidR="00DB072F" w:rsidRDefault="0053141D">
      <w:pPr>
        <w:pStyle w:val="Reviso2Body"/>
      </w:pPr>
      <w:r>
        <w:t xml:space="preserve">A equação descreve a variância condicional h. Restrições sobre ω, α e β garantem sua positividade; a existência de momentos e a estabilidade exigem condições adicionais. Mesmo </w:t>
      </w:r>
      <w:r>
        <w:lastRenderedPageBreak/>
        <w:t>com parâmetros constantes, a atualização da variância permite representar períodos de maior e menor dispersão dos retornos.</w:t>
      </w:r>
    </w:p>
    <w:p w14:paraId="45D46E82" w14:textId="77777777" w:rsidR="00DB072F" w:rsidRDefault="0053141D">
      <w:pPr>
        <w:pStyle w:val="Reviso2Body"/>
      </w:pPr>
      <w:r>
        <w:t>Outras medidas fornecem informações complementares. Garman e Klass (1980) propõem estimadores que utilizam abertura, máxima, mínima e fechamento, aproveitando a amplitude observada dentro do período. Essas medidas dependem de hipóteses sobre o processo de preços e da consistência das cotações. Uma estimativa obtida de OHLC diário não deve ser identificada automaticamente com a variância realizada calculada a partir de retornos intradiários. Além de medirem aspectos distintos, ambas podem ser afetadas por horários de negociação, movimentos entre sessões e qualidade dos registros.</w:t>
      </w:r>
    </w:p>
    <w:p w14:paraId="01A03FFB" w14:textId="77777777" w:rsidR="00DB072F" w:rsidRDefault="0053141D">
      <w:pPr>
        <w:pStyle w:val="Reviso2Body"/>
      </w:pPr>
      <w:r>
        <w:t>No resumo consultado, Campani e Durães (2018) relatam ganhos de previsão da volatilidade do USD/BRL com modelos GARCH acrescidos de variância realizada de alta frequência e do índice implícito FXVol. A evidência motiva o exame de informações auxiliares, mas não avalia as medidas diárias nem o retorno agregado utilizados neste trabalho.</w:t>
      </w:r>
    </w:p>
    <w:p w14:paraId="7BC32FFC" w14:textId="77777777" w:rsidR="00DB072F" w:rsidRDefault="0053141D">
      <w:pPr>
        <w:pStyle w:val="Reviso2Body"/>
      </w:pPr>
      <w:r>
        <w:t>A volatilidade implícita também precisa ser associada ao mercado de origem. A Cboe (s.d.) define o VIX como uma medida de volatilidade esperada para o S&amp;P 500 nos 30 dias seguintes, extraída de preços de opções. Ele pode servir como informação sobre condições financeiras externas, mas não mede diretamente a volatilidade futura de uma carteira do agronegócio brasileiro. Da mesma forma, o estimador de Corwin e Schultz (2012) utiliza máximas e mínimas diárias para inferir o spread de negociação. Trata-se de uma aproximação de liquidez, e não de uma observação direta de cotações de compra e venda.</w:t>
      </w:r>
    </w:p>
    <w:p w14:paraId="0A14D268" w14:textId="77777777" w:rsidR="00DB072F" w:rsidRDefault="0053141D">
      <w:pPr>
        <w:pStyle w:val="Reviso2Heading"/>
      </w:pPr>
      <w:bookmarkStart w:id="14" w:name="_Toc243470593"/>
      <w:r>
        <w:t>2.4 Value at Risk, Expected Shortfall e risco de cauda</w:t>
      </w:r>
      <w:bookmarkEnd w:id="14"/>
    </w:p>
    <w:p w14:paraId="5BD8A889" w14:textId="77777777" w:rsidR="00DB072F" w:rsidRDefault="0053141D">
      <w:pPr>
        <w:pStyle w:val="Reviso2Subheading"/>
      </w:pPr>
      <w:bookmarkStart w:id="15" w:name="_Toc243470594"/>
      <w:r>
        <w:t>2.4.1 Definição das medidas e interpretação da perda</w:t>
      </w:r>
      <w:bookmarkEnd w:id="15"/>
    </w:p>
    <w:p w14:paraId="21C677EC" w14:textId="77777777" w:rsidR="00DB072F" w:rsidRDefault="0053141D">
      <w:pPr>
        <w:pStyle w:val="Reviso2Body"/>
      </w:pPr>
      <w:r>
        <w:t>A mensuração do risco começa pela definição da variável de perda, do horizonte e do conjunto de informações disponível. Se o objeto for o retorno simples de um índice de preços, pode-se representar a perda proporcional por L = −R. Valores positivos indicam perdas e valores negativos indicam ganhos. Essa convenção evita misturar o sinal de um retorno com o sinal da exposição ao risco e não requer transformar todos os ganhos em zero. Caso o objeto seja o resultado monetário de uma carteira operacional, a definição precisa acompanhar sua contabilidade específica.</w:t>
      </w:r>
    </w:p>
    <w:p w14:paraId="55F35EA4" w14:textId="77777777" w:rsidR="00DB072F" w:rsidRDefault="0053141D">
      <w:pPr>
        <w:pStyle w:val="Reviso2Body"/>
      </w:pPr>
      <w:r>
        <w:t xml:space="preserve">Para um nível de confiança α, o VaR é um quantil da distribuição de perdas condicionada às informações disponíveis na origem da previsão. Um VaR a 99% procura delimitar um ponto abaixo do qual se encontra aproximadamente 99% dessa distribuição, sob </w:t>
      </w:r>
      <w:r>
        <w:lastRenderedPageBreak/>
        <w:t>as condições do modelo. Ele não representa a maior perda possível nem informa, sozinho, a magnitude do que ocorre além do quantil. Uma carteira pode apresentar o mesmo VaR que outra e, ainda assim, concentrar perdas muito mais intensas na região extrema.</w:t>
      </w:r>
    </w:p>
    <w:p w14:paraId="7482A579" w14:textId="77777777" w:rsidR="00DB072F" w:rsidRDefault="0053141D">
      <w:pPr>
        <w:pStyle w:val="Reviso2Body"/>
        <w:keepLines/>
        <w:ind w:firstLine="0"/>
        <w:jc w:val="center"/>
      </w:pPr>
      <m:oMathPara>
        <m:oMath>
          <m:r>
            <w:rPr>
              <w:rFonts w:ascii="Cambria Math" w:hAnsi="Cambria Math"/>
            </w:rPr>
            <m:t>VaRα,ₜ = inf</m:t>
          </m:r>
          <m:r>
            <m:rPr>
              <m:scr m:val="script"/>
            </m:rPr>
            <w:rPr>
              <w:rFonts w:ascii="Cambria Math" w:hAnsi="Cambria Math"/>
            </w:rPr>
            <m:t xml:space="preserve">{l : </m:t>
          </m:r>
          <m:r>
            <w:rPr>
              <w:rFonts w:ascii="Cambria Math" w:hAnsi="Cambria Math"/>
            </w:rPr>
            <m:t>P(Lₜ₊₁</m:t>
          </m:r>
          <m:r>
            <m:rPr>
              <m:scr m:val="script"/>
            </m:rPr>
            <w:rPr>
              <w:rFonts w:ascii="Cambria Math" w:hAnsi="Cambria Math"/>
            </w:rPr>
            <m:t xml:space="preserve"> ≤ l | Fₜ) ≥ </m:t>
          </m:r>
          <m:r>
            <w:rPr>
              <w:rFonts w:ascii="Cambria Math" w:hAnsi="Cambria Math"/>
            </w:rPr>
            <m:t>α}</m:t>
          </m:r>
        </m:oMath>
      </m:oMathPara>
    </w:p>
    <w:p w14:paraId="53130260" w14:textId="77777777" w:rsidR="00DB072F" w:rsidRDefault="0053141D">
      <w:pPr>
        <w:pStyle w:val="Reviso2Body"/>
      </w:pPr>
      <w:r>
        <w:t>O Expected Shortfall complementa essa informação ao resumir a região mais desfavorável da distribuição. Acerbi e Tasche (2002) discutem sua definição e coerência, destacando a importância de tratar corretamente distribuições com descontinuidades. Uma formulação geral corresponde à média dos quantis da cauda superior das perdas. Em distribuições contínuas, ela pode ser relacionada à perda esperada além do VaR; na presença de massa concentrada no quantil, a regra de ponderação dessa massa precisa ser preservada.</w:t>
      </w:r>
    </w:p>
    <w:p w14:paraId="1B4EFA9D" w14:textId="77777777" w:rsidR="00DB072F" w:rsidRDefault="00D2386F">
      <w:pPr>
        <w:pStyle w:val="Reviso2Body"/>
        <w:keepLines/>
        <w:ind w:firstLine="0"/>
        <w:jc w:val="center"/>
      </w:pPr>
      <m:oMathPara>
        <m:oMath>
          <m:sSub>
            <m:sSubPr>
              <m:ctrlPr>
                <w:rPr>
                  <w:rFonts w:ascii="Cambria Math" w:hAnsi="Cambria Math"/>
                </w:rPr>
              </m:ctrlPr>
            </m:sSubPr>
            <m:e>
              <m:r>
                <w:rPr>
                  <w:rFonts w:ascii="Cambria Math" w:hAnsi="Cambria Math"/>
                </w:rPr>
                <m:t>ES</m:t>
              </m:r>
            </m:e>
            <m:sub>
              <m:r>
                <w:rPr>
                  <w:rFonts w:ascii="Cambria Math" w:hAnsi="Cambria Math"/>
                </w:rPr>
                <m:t>α,t</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1 - α</m:t>
              </m:r>
            </m:den>
          </m:f>
          <m:nary>
            <m:naryPr>
              <m:limLoc m:val="undOvr"/>
              <m:ctrlPr>
                <w:rPr>
                  <w:rFonts w:ascii="Cambria Math" w:hAnsi="Cambria Math"/>
                </w:rPr>
              </m:ctrlPr>
            </m:naryPr>
            <m:sub>
              <m:r>
                <w:rPr>
                  <w:rFonts w:ascii="Cambria Math" w:hAnsi="Cambria Math"/>
                </w:rPr>
                <m:t>α</m:t>
              </m:r>
            </m:sub>
            <m:sup>
              <m:r>
                <w:rPr>
                  <w:rFonts w:ascii="Cambria Math" w:hAnsi="Cambria Math"/>
                </w:rPr>
                <m:t>1</m:t>
              </m:r>
            </m:sup>
            <m:e>
              <m:r>
                <w:rPr>
                  <w:rFonts w:ascii="Cambria Math" w:hAnsi="Cambria Math"/>
                </w:rPr>
                <m:t>VaR(u,t) du</m:t>
              </m:r>
            </m:e>
          </m:nary>
        </m:oMath>
      </m:oMathPara>
    </w:p>
    <w:p w14:paraId="3FF1156D" w14:textId="77777777" w:rsidR="00DB072F" w:rsidRDefault="0053141D">
      <w:pPr>
        <w:pStyle w:val="Reviso2Body"/>
      </w:pPr>
      <w:r>
        <w:t>Na expressão, a integral começa em α e reúne os quantis superiores até 1. A propriedade de subaditividade do ES, nas condições de integrabilidade pertinentes, oferece uma justificativa para seu uso na análise de diversificação. Essa propriedade não significa, porém, que sua estimativa seja simples ou estável em qualquer amostra. Como o ES depende da intensidade das perdas extremas, a escassez de observações na cauda pode torná-lo especialmente sensível à escolha do período e à especificação da distribuição (Acerbi; Tasche, 2002).</w:t>
      </w:r>
    </w:p>
    <w:p w14:paraId="1ECFDFE0" w14:textId="77777777" w:rsidR="00DB072F" w:rsidRDefault="0053141D">
      <w:pPr>
        <w:pStyle w:val="Reviso2Subheading"/>
      </w:pPr>
      <w:bookmarkStart w:id="16" w:name="_Toc243470595"/>
      <w:r>
        <w:t>2.4.2 Formas de estimação e informação disponível na cauda</w:t>
      </w:r>
      <w:bookmarkEnd w:id="16"/>
    </w:p>
    <w:p w14:paraId="27CC4FB8" w14:textId="77777777" w:rsidR="00DB072F" w:rsidRDefault="0053141D">
      <w:pPr>
        <w:pStyle w:val="Reviso2Body"/>
      </w:pPr>
      <w:r>
        <w:t>Há diferentes caminhos para obter as medidas. Modelos paramétricos especificam uma distribuição condicional; a simulação histórica utiliza realizações passadas; procedimentos semiparamétricos combinam uma estrutura dinâmica com informações empíricas sobre os erros. Hull e White (1998), por exemplo, propõem atualizar a volatilidade na simulação histórica, permitindo que observações passadas sejam consideradas à luz das condições correntes de risco. A escolha entre esses caminhos envolve hipóteses distintas sobre estabilidade dos resíduos, capacidade de adaptação e tratamento dos extremos.</w:t>
      </w:r>
    </w:p>
    <w:p w14:paraId="641B1A49" w14:textId="77777777" w:rsidR="00DB072F" w:rsidRDefault="0053141D">
      <w:pPr>
        <w:pStyle w:val="Reviso2Body"/>
      </w:pPr>
      <w:r>
        <w:t xml:space="preserve">A previsão direta dos quantis constitui outra possibilidade. Engle e Manganelli (2004) apresentam o CAViaR, que modela a evolução do quantil condicional por regressão quantílica, sem exigir que toda a distribuição dos retornos seja descrita por uma única família paramétrica. Taylor (2019) desenvolve uma abordagem semiparamétrica para a previsão conjunta de VaR e ES. Essas contribuições mostram que a modelagem do risco pode ser orientada diretamente às </w:t>
      </w:r>
      <w:r>
        <w:lastRenderedPageBreak/>
        <w:t>características da cauda, em vez de decorrer necessariamente de uma previsão pontual seguida por uma hipótese adicional de distribuição.</w:t>
      </w:r>
    </w:p>
    <w:p w14:paraId="7ECC578E" w14:textId="77777777" w:rsidR="00DB072F" w:rsidRDefault="0053141D">
      <w:pPr>
        <w:pStyle w:val="Reviso2Body"/>
      </w:pPr>
      <w:r>
        <w:t>Com 145 a 251 erros de calibração, como ocorre nas janelas deste estudo, uma cauda de 1% corresponde a apenas 1,45 a 2,51 observações. Gerar milhares de cenários a partir desses erros reduz o erro de simulação, mas não acrescenta episódios históricos independentes. A precisão da estimativa continua limitada pela informação disponível na cauda.</w:t>
      </w:r>
    </w:p>
    <w:p w14:paraId="0047D827" w14:textId="77777777" w:rsidR="00DB072F" w:rsidRDefault="0053141D">
      <w:pPr>
        <w:pStyle w:val="Reviso2Body"/>
      </w:pPr>
      <w:r>
        <w:t>A unidade da variável também precisa ser mantida. Se uma rede prevê retornos logarítmicos, a perda simples correspondente é obtida por L = 1 − exp(r). Para estimar o ES nessa escala, cada cenário deve ser transformado antes da média na cauda. Em geral, transformar a média de uma variável não produz a média de sua transformação. Essa diferença matemática afeta a coerência entre o alvo previsto, os cenários simulados e a interpretação econômica das medidas de risco.</w:t>
      </w:r>
    </w:p>
    <w:p w14:paraId="5F3C037E" w14:textId="77777777" w:rsidR="00DB072F" w:rsidRDefault="0053141D">
      <w:pPr>
        <w:pStyle w:val="Reviso2Heading"/>
      </w:pPr>
      <w:bookmarkStart w:id="17" w:name="_Toc243470596"/>
      <w:r>
        <w:t>2.5 Mudanças de regime e Hidden Markov Models</w:t>
      </w:r>
      <w:bookmarkEnd w:id="17"/>
    </w:p>
    <w:p w14:paraId="1C5EE2E0" w14:textId="77777777" w:rsidR="00DB072F" w:rsidRDefault="0053141D">
      <w:pPr>
        <w:pStyle w:val="Reviso2Body"/>
      </w:pPr>
      <w:r>
        <w:t>Hamilton (1989) propõe uma abordagem para representar mudanças discretas e não observadas na dinâmica de séries econômicas, com aplicação ao ciclo de negócios dos Estados Unidos. A ideia central é permitir que o comportamento da série dependa de um estado latente que evolui segundo uma cadeia de Markov. Em uma aplicação financeira, esse mecanismo pode representar condições com diferentes níveis de retorno e volatilidade. A transição entre estados passa a integrar o modelo, em vez de ser definida exclusivamente por datas de crise escolhidas após a observação dos acontecimentos.</w:t>
      </w:r>
    </w:p>
    <w:p w14:paraId="7F327507" w14:textId="77777777" w:rsidR="00DB072F" w:rsidRDefault="0053141D">
      <w:pPr>
        <w:pStyle w:val="Reviso2Body"/>
      </w:pPr>
      <w:r>
        <w:t>Os HMM organizam essa ideia em dois componentes: um processo de estados não observados e uma distribuição das observações condicionada ao estado. A matriz de transição descreve as probabilidades de passagem entre estados, enquanto as distribuições de emissão representam o comportamento dos dados em cada um deles. Rabiner (1989) sistematiza os problemas de avaliação, inferência e estimação associados a essa estrutura, oferecendo a base algorítmica para seu emprego em diferentes domínios.</w:t>
      </w:r>
    </w:p>
    <w:p w14:paraId="4DC07C96" w14:textId="77777777" w:rsidR="00DB072F" w:rsidRDefault="0053141D">
      <w:pPr>
        <w:pStyle w:val="Reviso2Body"/>
      </w:pPr>
      <w:r>
        <w:t>Em um HMM gaussiano, cada estado tem sua média e matriz de covariância. A mistura dos estados amplia a representação da distribuição agregada, mas pode deixar dependências, caudas ou durações mal descritas. Os estados estimados são uma aproximação estatística e precisam ser avaliados antes de receber uma interpretação econômica.</w:t>
      </w:r>
    </w:p>
    <w:p w14:paraId="6C7867D2" w14:textId="77777777" w:rsidR="00DB072F" w:rsidRDefault="0053141D">
      <w:pPr>
        <w:pStyle w:val="Reviso2Body"/>
      </w:pPr>
      <w:r>
        <w:t xml:space="preserve">A distinção entre probabilidades filtradas e suavizadas é decisiva para previsão. A filtragem utiliza somente observações disponíveis até o instante considerado. A suavização incorpora também observações posteriores, podendo ser adequada à interpretação retrospectiva </w:t>
      </w:r>
      <w:r>
        <w:lastRenderedPageBreak/>
        <w:t>de episódios históricos. Embora ambas sejam úteis, apenas a primeira corresponde à informação que estaria disponível para uma decisão tomada naquele momento. O algoritmo de Viterbi, por sua vez, procura uma trajetória conjunta mais provável; aplicá-lo à sequência completa não transforma seus estados históricos em informações prospectivas (Rabiner, 1989).</w:t>
      </w:r>
    </w:p>
    <w:p w14:paraId="6233E19E" w14:textId="77777777" w:rsidR="00DB072F" w:rsidRDefault="0053141D">
      <w:pPr>
        <w:pStyle w:val="Reviso2Body"/>
        <w:keepLines/>
        <w:ind w:firstLine="0"/>
        <w:jc w:val="center"/>
      </w:pPr>
      <m:oMathPara>
        <m:oMath>
          <m:r>
            <w:rPr>
              <w:rFonts w:ascii="Cambria Math" w:hAnsi="Cambria Math"/>
            </w:rPr>
            <m:t>πₜ(k) ∝ fₖ(yₜ) Σⱼ pⱼₖπₜ₋₁(j)</m:t>
          </m:r>
        </m:oMath>
      </m:oMathPara>
    </w:p>
    <w:p w14:paraId="7B634DD3" w14:textId="77777777" w:rsidR="00DB072F" w:rsidRDefault="0053141D">
      <w:pPr>
        <w:pStyle w:val="Reviso2Body"/>
      </w:pPr>
      <w:r>
        <w:t>Essa forma resumida da recursão Forward combina a probabilidade anterior, as transições entre estados e a plausibilidade da observação corrente sob cada estado. A normalização faz as probabilidades somarem um. Na aplicação preditiva, os parâmetros envolvidos também precisam ter sido estimados com dados anteriores ao período avaliado. Uma filtragem calculada apenas com o passado ainda pode carregar informação futura se a matriz de transição ou as distribuições de emissão tiverem sido ajustadas com a amostra completa.</w:t>
      </w:r>
    </w:p>
    <w:p w14:paraId="2BAD9948" w14:textId="77777777" w:rsidR="00DB072F" w:rsidRDefault="0053141D">
      <w:pPr>
        <w:pStyle w:val="Reviso2Body"/>
      </w:pPr>
      <w:r>
        <w:t>A escolha do número de estados equilibra detalhe e precisão. Mais estados aumentam o número de parâmetros e podem dividir episódios raros em grupos pequenos. Critérios de informação, estabilidade e interpretação ajudam nessa decisão, que deve ocorrer antes da avaliação no teste. Como os rótulos não têm significado econômico próprio, as comparações entre janelas exigem uma convenção comum, como ordenar os estados pela volatilidade estimada no treino.</w:t>
      </w:r>
    </w:p>
    <w:p w14:paraId="3DDE1BEC" w14:textId="77777777" w:rsidR="00DB072F" w:rsidRDefault="0053141D">
      <w:pPr>
        <w:pStyle w:val="Reviso2Body"/>
      </w:pPr>
      <w:r>
        <w:t>O HMM pode fornecer ao modelo seguinte um estado selecionado ou o vetor de probabilidades filtradas. A primeira opção simplifica a entrada, mas descarta a incerteza de classificação; a segunda conserva essa informação e acrescenta variáveis. Este estudo utiliza o estado mais provável em codificação one-hot e compara a rede resultante com uma LSTM sem essas entradas.</w:t>
      </w:r>
    </w:p>
    <w:p w14:paraId="0CE2127E" w14:textId="77777777" w:rsidR="00DB072F" w:rsidRDefault="0053141D">
      <w:pPr>
        <w:pStyle w:val="Reviso2Heading"/>
      </w:pPr>
      <w:bookmarkStart w:id="18" w:name="_Toc243470597"/>
      <w:r>
        <w:t>2.6 Modelos MS-GARCH como referência econométrica</w:t>
      </w:r>
      <w:bookmarkEnd w:id="18"/>
    </w:p>
    <w:p w14:paraId="57EC1283" w14:textId="77777777" w:rsidR="00DB072F" w:rsidRDefault="0053141D">
      <w:pPr>
        <w:pStyle w:val="Reviso2Body"/>
      </w:pPr>
      <w:r>
        <w:t>O MS-GARCH combina mudanças de regime com dinâmicas de variância condicional. Haas, Mittnik e Paolella (2004) apresentam uma formulação que procura lidar com dificuldades de estimação e de caracterização dinâmica de modelos anteriores. Sua proposta permite que processos de variância associados a diferentes regimes evoluam em paralelo. O estado latente determina a distribuição relevante para as observações, preservando a atualização da volatilidade a partir do histórico disponível.</w:t>
      </w:r>
    </w:p>
    <w:p w14:paraId="168F01E9" w14:textId="77777777" w:rsidR="00DB072F" w:rsidRDefault="0053141D">
      <w:pPr>
        <w:pStyle w:val="Reviso2Body"/>
      </w:pPr>
      <w:r>
        <w:t xml:space="preserve">Essa estrutura evita interpretar o MS-GARCH como a simples seleção diária de um entre vários GARCH ajustados de forma independente após a classificação dos dados. A modelagem envolve a dinâmica das variâncias, as probabilidades dos estados e a distribuição condicional resultante. Dependendo da especificação, mudanças nos parâmetros de persistência e na forma </w:t>
      </w:r>
      <w:r>
        <w:lastRenderedPageBreak/>
        <w:t>das inovações podem representar comportamentos que um modelo de regime único descreve de maneira menos flexível. O aumento da flexibilidade, contudo, também pode dificultar a estimação e exigir mais informação da amostra.</w:t>
      </w:r>
    </w:p>
    <w:p w14:paraId="074904B7" w14:textId="77777777" w:rsidR="00DB072F" w:rsidRDefault="0053141D">
      <w:pPr>
        <w:pStyle w:val="Reviso2Body"/>
      </w:pPr>
      <w:r>
        <w:t>Ardia et al. (2019) apresentam o pacote MSGARCH, que reúne estimação por máxima verossimilhança e inferência bayesiana, simulação, previsão de densidades e cálculo de VaR e ES. O pacote fornece uma referência econométrica que combina regimes e heterocedasticidade, permitindo comparar a rede com outro procedimento que também adapta o risco às condições de mercado.</w:t>
      </w:r>
    </w:p>
    <w:p w14:paraId="17469562" w14:textId="77777777" w:rsidR="00DB072F" w:rsidRDefault="0053141D">
      <w:pPr>
        <w:pStyle w:val="Reviso2Body"/>
      </w:pPr>
      <w:r>
        <w:t>Uma consequência importante da distribuição em mistura é que o quantil agregado não corresponde, em geral, à média ponderada dos quantis de cada estado. As probabilidades precisam compor a distribuição preditiva antes da obtenção do VaR e do ES. Da mesma forma, escolher inovações Student-t constitui uma hipótese paramétrica sobre a distribuição condicional; isso não equivale a utilizar simulação histórica filtrada. A nomenclatura dos procedimentos precisa refletir como os cenários foram efetivamente gerados, pois métodos com nomes semelhantes podem impor hipóteses diferentes (Ardia et al., 2019).</w:t>
      </w:r>
    </w:p>
    <w:p w14:paraId="09DD8D39" w14:textId="77777777" w:rsidR="00DB072F" w:rsidRDefault="0053141D">
      <w:pPr>
        <w:pStyle w:val="Reviso2Heading"/>
      </w:pPr>
      <w:bookmarkStart w:id="19" w:name="_Toc243470598"/>
      <w:r>
        <w:t>2.7 Redes LSTM e modelos híbridos em finanças</w:t>
      </w:r>
      <w:bookmarkEnd w:id="19"/>
    </w:p>
    <w:p w14:paraId="137F752A" w14:textId="77777777" w:rsidR="00DB072F" w:rsidRDefault="0053141D">
      <w:pPr>
        <w:pStyle w:val="Reviso2Subheading"/>
      </w:pPr>
      <w:bookmarkStart w:id="20" w:name="_Toc243470599"/>
      <w:r>
        <w:t>2.7.1 Aprendizado temporal e objeto da previsão</w:t>
      </w:r>
      <w:bookmarkEnd w:id="20"/>
    </w:p>
    <w:p w14:paraId="1BBE7B3E" w14:textId="77777777" w:rsidR="00DB072F" w:rsidRDefault="0053141D">
      <w:pPr>
        <w:pStyle w:val="Reviso2Body"/>
      </w:pPr>
      <w:r>
        <w:t>Hochreiter e Schmidhuber (1997) introduzem a LSTM para enfrentar dificuldades de aprendizado de dependências longas em redes recorrentes. A arquitetura utiliza um estado de memória e mecanismos de controle do fluxo de informação, reduzindo problemas associados à propagação do gradiente ao longo da sequência. Gers, Schmidhuber e Cummins (2000) acrescentam a porta de esquecimento adaptativa, componente importante das formulações modernas. Essa evolução permite que a rede aprenda quando preservar, incorporar ou descartar informações, sem fixar antecipadamente uma única regra de dependência temporal.</w:t>
      </w:r>
    </w:p>
    <w:p w14:paraId="758AA8BA" w14:textId="77777777" w:rsidR="00DB072F" w:rsidRDefault="0053141D">
      <w:pPr>
        <w:pStyle w:val="Reviso2Body"/>
      </w:pPr>
      <w:r>
        <w:t>Em finanças, uma LSTM pode receber sequências de retornos, medidas de volatilidade e outras variáveis disponíveis na origem da previsão. Sua flexibilidade permite representar interações que seriam trabalhosas de especificar manualmente. Entretanto, a quantidade de observações efetivamente aproveitável diminui com a exigência de janelas completas, defasagens e divisões cronológicas. Acrescentar camadas ou variáveis pode aumentar a capacidade de ajuste sem produzir melhora fora da amostra, especialmente quando os episódios relevantes para a cauda são poucos.</w:t>
      </w:r>
    </w:p>
    <w:p w14:paraId="6377D20B" w14:textId="77777777" w:rsidR="00DB072F" w:rsidRDefault="0053141D">
      <w:pPr>
        <w:pStyle w:val="Reviso2Body"/>
      </w:pPr>
      <w:r>
        <w:lastRenderedPageBreak/>
        <w:t>Sob condições usuais, minimizar o erro quadrático médio leva à previsão da média condicional do alvo. Quando o alvo é o retorno, a saída não é um quantil extremo nem uma previsão de volatilidade. O cálculo do risco depende, assim, da função de perda e da regra que transforma essa saída em uma distribuição de perdas.</w:t>
      </w:r>
    </w:p>
    <w:p w14:paraId="06C1CE2F" w14:textId="77777777" w:rsidR="00DB072F" w:rsidRDefault="0053141D">
      <w:pPr>
        <w:pStyle w:val="Reviso2Subheading"/>
      </w:pPr>
      <w:bookmarkStart w:id="21" w:name="_Toc243470600"/>
      <w:r>
        <w:t>2.7.2 Evidências empíricas e limites de transferência</w:t>
      </w:r>
      <w:bookmarkEnd w:id="21"/>
    </w:p>
    <w:p w14:paraId="540FA0EA" w14:textId="77777777" w:rsidR="00DB072F" w:rsidRDefault="0053141D">
      <w:pPr>
        <w:pStyle w:val="Reviso2Body"/>
      </w:pPr>
      <w:r>
        <w:t>Fischer e Krauss (2018) usam LSTM para prever, fora da amostra, a direção dos movimentos das ações do S&amp;P 500 entre 1992 e 2015. O estudo compara a rede com métodos de classificação sem o mesmo mecanismo de memória. Sua aplicação fundamenta o interesse por LSTM em finanças, mas não avalia a cobertura do VaR ou a precisão do ES de uma carteira brasileira.</w:t>
      </w:r>
    </w:p>
    <w:p w14:paraId="769D018D" w14:textId="77777777" w:rsidR="00DB072F" w:rsidRDefault="0053141D">
      <w:pPr>
        <w:pStyle w:val="Reviso2Body"/>
      </w:pPr>
      <w:r>
        <w:t>A integração entre regimes e redes neurais já aparece em trabalhos voltados ao risco. De Mel (2026) apresenta uma combinação de HMM gaussiano e LSTM para dados da Microsoft entre 2016 e 2022, separando os períodos de treinamento e teste. Segundo o resumo consultado, a rede prevê uma aproximação de volatilidade, o regime é utilizado como entrada e uma distribuição Student-t de resíduos padronizados fornece o tratamento da cauda. Esse desenho mostra que a informação de estado e a distribuição das inovações desempenham funções distintas na obtenção das medidas de risco.</w:t>
      </w:r>
    </w:p>
    <w:p w14:paraId="0051888B" w14:textId="77777777" w:rsidR="00DB072F" w:rsidRDefault="0053141D">
      <w:pPr>
        <w:pStyle w:val="Reviso2Body"/>
      </w:pPr>
      <w:r>
        <w:t>O resultado de cobertura relatado no resumo de De Mel (2026) não informa, por si só, a dependência das violações ou a calibração do ES. A diferença central para este TCC está no alvo e na cauda: aquele estudo prevê uma aproximação de volatilidade e utiliza Student-t; aqui, a rede prevê retorno e a simulação histórica filtrada utiliza erros de calibração.</w:t>
      </w:r>
    </w:p>
    <w:p w14:paraId="52EFFBF6" w14:textId="77777777" w:rsidR="00DB072F" w:rsidRDefault="0053141D">
      <w:pPr>
        <w:pStyle w:val="Reviso2Body"/>
      </w:pPr>
      <w:r>
        <w:t>No resumo e nas notas públicas consultados, Arimond et al. (2026) examinam redes neurais e VaR em carteiras de índices de ações e títulos, incluindo inicializações baseadas em HMM. Relatam redução de violações em determinadas configurações de LSTM, condicionada à disponibilidade de históricos longos. Esse uso do HMM difere da entrada one-hot do estado filtrado adotada neste TCC. A comparação situa o antecedente sem pressupor que as arquiteturas ou os critérios de avaliação sejam equivalentes.</w:t>
      </w:r>
    </w:p>
    <w:p w14:paraId="5BA1E070" w14:textId="77777777" w:rsidR="00DB072F" w:rsidRDefault="0053141D">
      <w:pPr>
        <w:pStyle w:val="Reviso2Body"/>
      </w:pPr>
      <w:r>
        <w:t xml:space="preserve">A contribuição de uma combinação específica precisa ser identificada por comparação. Uma LSTM sem regime ajuda a verificar se o HMM acrescenta informação útil além das mesmas variáveis e defasagens. O MS-GARCH permite examinar se os eventuais ganhos dependem apenas de contemplar estados e volatilidade variável. Essas comparações não isolam um efeito causal em sentido econômico, mas tornam a interpretação preditiva mais clara. Se os </w:t>
      </w:r>
      <w:r>
        <w:lastRenderedPageBreak/>
        <w:t>modelos utilizarem informações ou períodos diferentes, parte da diferença observada poderá decorrer dessas escolhas, e não da arquitetura em si.</w:t>
      </w:r>
    </w:p>
    <w:p w14:paraId="6C2C0945" w14:textId="77777777" w:rsidR="00DB072F" w:rsidRDefault="0053141D">
      <w:pPr>
        <w:pStyle w:val="Reviso2Heading"/>
      </w:pPr>
      <w:bookmarkStart w:id="22" w:name="_Toc243470601"/>
      <w:r>
        <w:t>2.8 Incerteza preditiva e Monte Carlo Dropout</w:t>
      </w:r>
      <w:bookmarkEnd w:id="22"/>
    </w:p>
    <w:p w14:paraId="706C7B13" w14:textId="77777777" w:rsidR="00DB072F" w:rsidRDefault="0053141D">
      <w:pPr>
        <w:pStyle w:val="Reviso2Body"/>
      </w:pPr>
      <w:r>
        <w:t>Gal e Ghahramani (2016) apresentam uma interpretação do dropout como aproximação de inferência bayesiana sob determinadas condições. Mantê-lo ativo em sucessivas avaliações da rede permite obter saídas diferentes para uma mesma entrada e examinar a sensibilidade da previsão às configurações de parâmetros implicitamente representadas. A técnica oferece uma forma computacionalmente acessível de investigar incerteza do modelo. Sua aplicação, entretanto, precisa respeitar a arquitetura e o esquema de dropout; diferentes formas de aplicar máscaras às conexões não são automaticamente equivalentes.</w:t>
      </w:r>
    </w:p>
    <w:p w14:paraId="0CBA6E08" w14:textId="77777777" w:rsidR="00DB072F" w:rsidRDefault="0053141D">
      <w:pPr>
        <w:pStyle w:val="Reviso2Body"/>
      </w:pPr>
      <w:r>
        <w:t>Kendall e Gal (2017) distinguem a incerteza epistêmica, ligada ao conhecimento limitado do modelo, da aleatória, associada à variabilidade das observações. Embora o estudo trate de visão computacional, a distinção ajuda a interpretar previsões financeiras: redes podem concordar sobre a média e, ainda assim, os retornos apresentarem grande dispersão.</w:t>
      </w:r>
    </w:p>
    <w:p w14:paraId="671BF28F" w14:textId="77777777" w:rsidR="00DB072F" w:rsidRDefault="0053141D">
      <w:pPr>
        <w:pStyle w:val="Reviso2Body"/>
      </w:pPr>
      <w:r>
        <w:t>Essa diferença limita o uso direto do Monte Carlo Dropout para calcular VaR e ES. Se cada avaliação da rede gera uma estimativa da média condicional, a distribuição dessas estimativas descreve principalmente variações na previsão do modelo. Ela não representa necessariamente a distribuição de todos os retornos que podem ocorrer no período seguinte. Para transformar a previsão em uma distribuição de perdas, é necessário representar também a variabilidade das observações e examinar se essa representação continua adequada quando as condições de mercado mudam (Gal; Ghahramani, 2016; Kendall; Gal, 2017).</w:t>
      </w:r>
    </w:p>
    <w:p w14:paraId="363546FE" w14:textId="77777777" w:rsidR="00DB072F" w:rsidRDefault="0053141D">
      <w:pPr>
        <w:pStyle w:val="Reviso2Body"/>
      </w:pPr>
      <w:r>
        <w:t>Um caminho é combinar uma previsão de localização com uma escala condicional e uma distribuição de resíduos. Em termos esquemáticos, o retorno seguinte pode ser representado pela soma da localização prevista e de um erro padronizado multiplicado pela escala. A ideia se aproxima da adaptação da simulação histórica às condições correntes de volatilidade discutida por Hull e White (1998). A interpretação depende de verificar se os resíduos padronizados são suficientemente estáveis; utilizar uma escala constante, por exemplo, não introduz adaptação diária da dispersão apenas por haver uma rede neural no componente de média.</w:t>
      </w:r>
    </w:p>
    <w:p w14:paraId="34F15F75" w14:textId="77777777" w:rsidR="00DB072F" w:rsidRDefault="0053141D">
      <w:pPr>
        <w:pStyle w:val="Reviso2Body"/>
      </w:pPr>
      <w:r>
        <w:t xml:space="preserve">Os erros usados na calibração devem vir de um período separado do teste e posterior à escolha da rede. Usar os mesmos erros para calibrar e avaliar a cauda compromete a análise fora da amostra. Essa separação reduz o conjunto de treino, o que exige discutir o equilíbrio </w:t>
      </w:r>
      <w:r>
        <w:lastRenderedPageBreak/>
        <w:t>entre tamanho da amostra, atualidade dos dados e precisão dos extremos, sobretudo nos estados com poucos episódios.</w:t>
      </w:r>
    </w:p>
    <w:p w14:paraId="2AE7D589" w14:textId="77777777" w:rsidR="00DB072F" w:rsidRDefault="0053141D">
      <w:pPr>
        <w:pStyle w:val="Reviso2Body"/>
      </w:pPr>
      <w:r>
        <w:t>O número de passagens com dropout controla a precisão computacional da aproximação. Mil passagens podem estabilizar médias e quantis, mas não demonstram que a distribuição obtida descreve os retornos. Combinar essa dispersão com erros de calibração também pode contar duas vezes efeitos já presentes nos resíduos. Cada componente precisa ter uma função definida no cálculo do VaR e do ES.</w:t>
      </w:r>
    </w:p>
    <w:p w14:paraId="1AF7ADEE" w14:textId="77777777" w:rsidR="00DB072F" w:rsidRDefault="0053141D">
      <w:pPr>
        <w:pStyle w:val="Reviso2Heading"/>
      </w:pPr>
      <w:bookmarkStart w:id="23" w:name="_Toc243470602"/>
      <w:r>
        <w:t>2.9 Validação temporal, backtesting e comparação das previsões</w:t>
      </w:r>
      <w:bookmarkEnd w:id="23"/>
    </w:p>
    <w:p w14:paraId="2AD8500A" w14:textId="77777777" w:rsidR="00DB072F" w:rsidRDefault="0053141D">
      <w:pPr>
        <w:pStyle w:val="Reviso2Subheading"/>
      </w:pPr>
      <w:bookmarkStart w:id="24" w:name="_Toc243470603"/>
      <w:r>
        <w:t>2.9.1 Avaliação fora da amostra e informação disponível</w:t>
      </w:r>
      <w:bookmarkEnd w:id="24"/>
    </w:p>
    <w:p w14:paraId="47835B89" w14:textId="77777777" w:rsidR="00DB072F" w:rsidRDefault="0053141D">
      <w:pPr>
        <w:pStyle w:val="Reviso2Body"/>
      </w:pPr>
      <w:r>
        <w:t>Hyndman e Athanasopoulos (2021) descrevem a avaliação por origens móveis, na qual cada previsão é construída a partir de observações anteriores ao instante previsto. Essa organização aproxima a avaliação da situação enfrentada por quem precisa decidir sem conhecer o futuro. Janelas móveis e janelas expansivas representam compromissos diferentes: as primeiras priorizam informação recente e descartam parte do histórico; as segundas acumulam observações, mas podem preservar períodos menos representativos das condições atuais.</w:t>
      </w:r>
    </w:p>
    <w:p w14:paraId="155B70B0" w14:textId="77777777" w:rsidR="00DB072F" w:rsidRDefault="0053141D">
      <w:pPr>
        <w:pStyle w:val="Reviso2Body"/>
      </w:pPr>
      <w:r>
        <w:t>A separação temporal vale para seleção de variáveis, padronização, escolha de hiperparâmetros, ajuste do HMM e calibração da distribuição. Todas essas etapas devem respeitar o período de informação de cada janela. Também é necessário verificar as fronteiras dos blocos: ao prever o próximo pregão, uma observação no fim do treino pode ter um alvo que já pertence à validação.</w:t>
      </w:r>
    </w:p>
    <w:p w14:paraId="6FFEC236" w14:textId="77777777" w:rsidR="00DB072F" w:rsidRDefault="0053141D">
      <w:pPr>
        <w:pStyle w:val="Reviso2Body"/>
      </w:pPr>
      <w:r>
        <w:t>A data de uma série não garante que a informação estivesse disponível na origem da previsão. Indicadores divulgados após o fechamento e revisões macroeconômicas exigem atenção. O alinhamento entre mercados com calendários e horários diferentes deve explicitar quais dados já eram conhecidos, para que o desempenho não resulte de informação futura.</w:t>
      </w:r>
    </w:p>
    <w:p w14:paraId="1B6D8D40" w14:textId="77777777" w:rsidR="00DB072F" w:rsidRDefault="0053141D">
      <w:pPr>
        <w:pStyle w:val="Reviso2Subheading"/>
      </w:pPr>
      <w:bookmarkStart w:id="25" w:name="_Toc243470604"/>
      <w:r>
        <w:t>2.9.2 Cobertura, independência e severidade das perdas</w:t>
      </w:r>
      <w:bookmarkEnd w:id="25"/>
    </w:p>
    <w:p w14:paraId="54D09F00" w14:textId="77777777" w:rsidR="00DB072F" w:rsidRDefault="0053141D">
      <w:pPr>
        <w:pStyle w:val="Reviso2Body"/>
      </w:pPr>
      <w:r>
        <w:t>Kupiec (1995) propõe procedimentos para examinar a precisão de modelos de risco e destaca a necessidade de amostras suficientemente grandes para avaliar eventos de baixa probabilidade. No teste de cobertura incondicional, compara-se a proporção observada de violações com a probabilidade nominal da cauda. Se o VaR é calculado com confiança de 99%, a referência é uma proporção de violações de 1%. O teste avalia compatibilidade estatística, e não a capacidade de antecipar cada episódio extremo.</w:t>
      </w:r>
    </w:p>
    <w:p w14:paraId="6270992A" w14:textId="77777777" w:rsidR="00DB072F" w:rsidRDefault="0053141D">
      <w:pPr>
        <w:pStyle w:val="Reviso2Body"/>
      </w:pPr>
      <w:r>
        <w:lastRenderedPageBreak/>
        <w:t>Christoffersen (1998) amplia a análise ao considerar a estrutura temporal das violações. Um modelo pode apresentar a frequência total esperada e concentrar suas falhas em uma sequência curta de dias turbulentos. Nessa situação, a cobertura incondicional pode ocultar uma deficiência relevante para a gestão do risco. A análise de independência e de cobertura condicional procura identificar esse problema, embora também dependa da quantidade de observações e de transições efetivamente disponíveis.</w:t>
      </w:r>
    </w:p>
    <w:p w14:paraId="14B0DC1E" w14:textId="77777777" w:rsidR="00DB072F" w:rsidRDefault="0053141D">
      <w:pPr>
        <w:pStyle w:val="Reviso2Body"/>
      </w:pPr>
      <w:r>
        <w:t>Uma avaliação por regime deve preservar essa dimensão temporal. Selecionar apenas dias de estresse e tratá-los como uma nova sequência contínua pode criar adjacências que não existiram no calendário original. Além disso, classificar o regime com probabilidades suavizadas ou com o retorno que se deseja prever introduz informação incompatível com uma decisão prospectiva. O estado utilizado para comparar previsões precisa corresponder à informação conhecida na origem de cada uma delas.</w:t>
      </w:r>
    </w:p>
    <w:p w14:paraId="5FF9280A" w14:textId="77777777" w:rsidR="00DB072F" w:rsidRDefault="0053141D">
      <w:pPr>
        <w:pStyle w:val="Reviso2Body"/>
      </w:pPr>
      <w:r>
        <w:t>A avaliação do ES exige examinar a severidade das perdas. Acerbi e Székely (2014) apresentam procedimentos de backtesting específicos e distinguem o problema de testar uma medida do problema de comparar modelos por uma função de pontuação. A compatibilidade da frequência de violações do VaR não demonstra, sozinha, que o ES descreve adequadamente a cauda. A escolha de um teste de ES deve considerar os dados requeridos, a definição da estatística e a construção de sua referência sob a hipótese nula; calcular apenas uma estatística não fornece automaticamente um p-valor válido.</w:t>
      </w:r>
    </w:p>
    <w:p w14:paraId="7481E9DC" w14:textId="77777777" w:rsidR="00DB072F" w:rsidRDefault="0053141D">
      <w:pPr>
        <w:pStyle w:val="Reviso2Subheading"/>
      </w:pPr>
      <w:bookmarkStart w:id="26" w:name="_Toc243470605"/>
      <w:r>
        <w:t>2.9.3 Comparação preditiva e interpretação das hipóteses</w:t>
      </w:r>
      <w:bookmarkEnd w:id="26"/>
    </w:p>
    <w:p w14:paraId="36F5A225" w14:textId="77777777" w:rsidR="00DB072F" w:rsidRDefault="0053141D">
      <w:pPr>
        <w:pStyle w:val="Reviso2Body"/>
      </w:pPr>
      <w:r>
        <w:t>Diebold e Mariano (1995) desenvolvem um teste de igualdade de precisão preditiva a partir da diferença entre perdas de previsão de modelos concorrentes. A aplicação exige previsões comparáveis, realizadas para as mesmas datas e avaliadas pela mesma função de perda. A dependência temporal dessa diferença precisa ser considerada na estimação da incerteza. A escolha do critério é substantiva: comparar o erro quadrático de retornos previstos responde a uma pergunta diferente de comparar a qualidade de quantis de perda.</w:t>
      </w:r>
    </w:p>
    <w:p w14:paraId="085A3DC9" w14:textId="77777777" w:rsidR="00DB072F" w:rsidRDefault="0053141D">
      <w:pPr>
        <w:pStyle w:val="Reviso2Body"/>
      </w:pPr>
      <w:r>
        <w:t>Fissler e Ziegel (2016) demonstram, sob condições apropriadas, a elicitabilidade conjunta de VaR e ES, fornecendo fundamento para funções de pontuação consistentes para o par de medidas. A contribuição permite comparar previsões de cauda sem reduzir a análise à contagem de violações. Engle e Manganelli (2004), ao orientarem a estimação para quantis, também evidenciam a importância de alinhar o critério de avaliação ao objeto previsto. Um limiar de VaR excessivamente conservador pode produzir poucas violações e, mesmo assim, ser pouco informativo para decisões de exposição.</w:t>
      </w:r>
    </w:p>
    <w:p w14:paraId="0901016B" w14:textId="77777777" w:rsidR="00DB072F" w:rsidRDefault="0053141D">
      <w:pPr>
        <w:pStyle w:val="Reviso2Body"/>
      </w:pPr>
      <w:r>
        <w:lastRenderedPageBreak/>
        <w:t>Esses cuidados orientam as hipóteses do trabalho. H1 exige examinar cobertura e precisão; H2 requer atenção ao agrupamento das violações e ao número de dias de estresse; e H3 distingue ausência de diferença detectável de equivalência. Uma afirmação de não inferioridade depende de margem aceitável definida previamente e de um teste adequado.</w:t>
      </w:r>
    </w:p>
    <w:p w14:paraId="06A01E98" w14:textId="77777777" w:rsidR="00DB072F" w:rsidRDefault="0053141D">
      <w:pPr>
        <w:pStyle w:val="Reviso2Body"/>
      </w:pPr>
      <w:r>
        <w:t>A interpretação também depende da quantidade de janelas, modelos e regimes comparados. Escolher a especificação depois de observar resultados favoráveis torna a avaliação otimista. A discussão deve apresentar diferenças de desempenho e sua incerteza, além da variação entre períodos. Uma comparação reproduzível pode trazer contribuição mesmo quando o modelo híbrido não supera as referências.</w:t>
      </w:r>
    </w:p>
    <w:p w14:paraId="47C273F3" w14:textId="77777777" w:rsidR="00DB072F" w:rsidRDefault="0053141D">
      <w:pPr>
        <w:pStyle w:val="Reviso2Heading"/>
      </w:pPr>
      <w:bookmarkStart w:id="27" w:name="_Toc243470606"/>
      <w:r>
        <w:t>2.10 Interpretabilidade e limites das explicações</w:t>
      </w:r>
      <w:bookmarkEnd w:id="27"/>
    </w:p>
    <w:p w14:paraId="09E71D1A" w14:textId="77777777" w:rsidR="00DB072F" w:rsidRDefault="0053141D">
      <w:pPr>
        <w:pStyle w:val="Reviso2Body"/>
      </w:pPr>
      <w:r>
        <w:t>Lundberg e Lee (2017) apresentam o SHAP como uma estrutura de atribuição de contribuições das variáveis a previsões específicas, reunindo métodos de explicação em uma formulação aditiva. A abordagem pode auxiliar a investigação de quais informações estão associadas às saídas de um modelo e de como essa associação varia entre condições de mercado. Para uma rede recorrente, a definição do objeto explicado deve esclarecer se as contribuições correspondem a variáveis, defasagens, grupos de períodos ou a alguma agregação desses elementos.</w:t>
      </w:r>
    </w:p>
    <w:p w14:paraId="02543089" w14:textId="77777777" w:rsidR="00DB072F" w:rsidRDefault="0053141D">
      <w:pPr>
        <w:pStyle w:val="Reviso2Body"/>
      </w:pPr>
      <w:r>
        <w:t>Os valores atribuídos dependem da distribuição de referência e da forma como se representa a ausência de uma variável. Janzing, Minorics e Blöbaum (2020) discutem justamente as diferenças entre condicionamento observacional e interpretação de intervenções nesse problema. Em dados financeiros, variáveis de volatilidade e suas defasagens costumam compartilhar informação, de modo que a contribuição atribuída a uma delas pode mudar conforme o tratamento das demais. Explicações produzidas por SHAP devem ser lidas como descrições do comportamento do modelo sob uma referência definida, sem atribuição automática de efeitos causais no mercado.</w:t>
      </w:r>
    </w:p>
    <w:p w14:paraId="72D6B32F" w14:textId="77777777" w:rsidR="00DB072F" w:rsidRDefault="0053141D">
      <w:pPr>
        <w:pStyle w:val="Reviso2Body"/>
      </w:pPr>
      <w:r>
        <w:t>Neste trabalho, o SHAP complementa os backtests ao descrever a contribuição atribuída às entradas para a saída da rede. Seu objeto é a previsão de retorno; a avaliação do VaR e do ES permanece a cargo dos testes e escores de risco.</w:t>
      </w:r>
    </w:p>
    <w:p w14:paraId="31A513DB" w14:textId="77777777" w:rsidR="00DB072F" w:rsidRDefault="0053141D">
      <w:pPr>
        <w:pStyle w:val="Reviso2Heading"/>
      </w:pPr>
      <w:bookmarkStart w:id="28" w:name="_Toc243470607"/>
      <w:r>
        <w:t>2.11 Síntese crítica e posicionamento da pesquisa</w:t>
      </w:r>
      <w:bookmarkEnd w:id="28"/>
    </w:p>
    <w:p w14:paraId="24F773D4" w14:textId="77777777" w:rsidR="00DB072F" w:rsidRDefault="0053141D">
      <w:pPr>
        <w:pStyle w:val="Reviso2Body"/>
      </w:pPr>
      <w:r>
        <w:t xml:space="preserve">Os métodos revisados têm funções distintas: ARCH-GARCH descreve a atualização da volatilidade; HMM representa estados e transições; LSTM aprende relações temporais; e os backtests avaliam as previsões de risco. Sua combinação acrescenta flexibilidade, mas também </w:t>
      </w:r>
      <w:r>
        <w:lastRenderedPageBreak/>
        <w:t>parâmetros e incerteza de estimação. Eventuais ganhos precisam ser avaliados diante do tamanho da amostra e da dificuldade de interpretar cada etapa.</w:t>
      </w:r>
    </w:p>
    <w:p w14:paraId="4423597E" w14:textId="77777777" w:rsidR="00DB072F" w:rsidRDefault="0053141D">
      <w:pPr>
        <w:pStyle w:val="Reviso2Body"/>
      </w:pPr>
      <w:r>
        <w:t>Fischer e Krauss (2018), De Mel (2026) e Arimond et al. (2026) tratam de problemas diferentes: previsão direcional de ações, VaR com regimes e volatilidade em uma ação, e redes aplicadas a carteiras de índices. Esses estudos fundamentam a comparação proposta, sem antecipar seu resultado. A contribuição deste trabalho está na avaliação da configuração aplicada ao agronegócio brasileiro, sob períodos e informações comparáveis.</w:t>
      </w:r>
    </w:p>
    <w:p w14:paraId="1B2D0992" w14:textId="77777777" w:rsidR="00DB072F" w:rsidRDefault="0053141D">
      <w:pPr>
        <w:pStyle w:val="Reviso2Body"/>
      </w:pPr>
      <w:r>
        <w:t>A comparação começa na definição da exposição. A construção das séries deve manter o significado dos preços, das rolagens e da conversão cambial. Do mesmo modo, a previsão de retorno precisa ser ligada a uma distribuição de perdas compatível. Sem esses cuidados, diferenças atribuídas aos modelos podem decorrer da preparação dos dados ou da avaliação.</w:t>
      </w:r>
    </w:p>
    <w:p w14:paraId="29D4F4DE" w14:textId="77777777" w:rsidR="00DB072F" w:rsidRDefault="0053141D">
      <w:pPr>
        <w:pStyle w:val="Reviso2Body"/>
      </w:pPr>
      <w:r>
        <w:t>O Quadro 1 relaciona a literatura às decisões do estudo. O capítulo 3 descreve a metodologia e o capítulo 4 apresenta os resultados.</w:t>
      </w:r>
    </w:p>
    <w:p w14:paraId="69C29F6B" w14:textId="77777777" w:rsidR="00DB072F" w:rsidRDefault="0053141D">
      <w:pPr>
        <w:pStyle w:val="Reviso2Body"/>
        <w:keepNext/>
        <w:spacing w:before="180"/>
        <w:ind w:firstLine="0"/>
      </w:pPr>
      <w:r>
        <w:t>Quadro 1 — Relação entre a literatura e as decisões da pesquisa</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98"/>
        <w:gridCol w:w="3118"/>
        <w:gridCol w:w="3855"/>
      </w:tblGrid>
      <w:tr w:rsidR="00DB072F" w14:paraId="7CABA90E" w14:textId="77777777">
        <w:trPr>
          <w:cantSplit/>
          <w:tblHeader/>
        </w:trPr>
        <w:tc>
          <w:tcPr>
            <w:tcW w:w="2098" w:type="dxa"/>
            <w:shd w:val="clear" w:color="auto" w:fill="E7E6E6"/>
            <w:tcMar>
              <w:top w:w="80" w:type="dxa"/>
              <w:left w:w="80" w:type="dxa"/>
              <w:bottom w:w="80" w:type="dxa"/>
              <w:right w:w="80" w:type="dxa"/>
            </w:tcMar>
            <w:vAlign w:val="center"/>
          </w:tcPr>
          <w:p w14:paraId="6A6AC39B" w14:textId="77777777" w:rsidR="00DB072F" w:rsidRDefault="0053141D">
            <w:pPr>
              <w:pStyle w:val="Reviso2Table"/>
              <w:spacing w:before="100" w:after="100"/>
            </w:pPr>
            <w:r>
              <w:rPr>
                <w:b/>
              </w:rPr>
              <w:t>Questão de pesquisa</w:t>
            </w:r>
          </w:p>
        </w:tc>
        <w:tc>
          <w:tcPr>
            <w:tcW w:w="3118" w:type="dxa"/>
            <w:shd w:val="clear" w:color="auto" w:fill="E7E6E6"/>
            <w:tcMar>
              <w:top w:w="80" w:type="dxa"/>
              <w:left w:w="80" w:type="dxa"/>
              <w:bottom w:w="80" w:type="dxa"/>
              <w:right w:w="80" w:type="dxa"/>
            </w:tcMar>
            <w:vAlign w:val="center"/>
          </w:tcPr>
          <w:p w14:paraId="1CDEF531" w14:textId="77777777" w:rsidR="00DB072F" w:rsidRDefault="0053141D">
            <w:pPr>
              <w:pStyle w:val="Reviso2Table"/>
              <w:spacing w:before="100" w:after="100"/>
            </w:pPr>
            <w:r>
              <w:rPr>
                <w:b/>
              </w:rPr>
              <w:t>Fundamentação principal</w:t>
            </w:r>
          </w:p>
        </w:tc>
        <w:tc>
          <w:tcPr>
            <w:tcW w:w="3855" w:type="dxa"/>
            <w:shd w:val="clear" w:color="auto" w:fill="E7E6E6"/>
            <w:tcMar>
              <w:top w:w="80" w:type="dxa"/>
              <w:left w:w="80" w:type="dxa"/>
              <w:bottom w:w="80" w:type="dxa"/>
              <w:right w:w="80" w:type="dxa"/>
            </w:tcMar>
            <w:vAlign w:val="center"/>
          </w:tcPr>
          <w:p w14:paraId="30711126" w14:textId="77777777" w:rsidR="00DB072F" w:rsidRDefault="0053141D">
            <w:pPr>
              <w:pStyle w:val="Reviso2Table"/>
              <w:spacing w:before="100" w:after="100"/>
            </w:pPr>
            <w:r>
              <w:rPr>
                <w:b/>
              </w:rPr>
              <w:t>Implicação para o estudo</w:t>
            </w:r>
          </w:p>
        </w:tc>
      </w:tr>
      <w:tr w:rsidR="00DB072F" w14:paraId="58CE476F" w14:textId="77777777">
        <w:trPr>
          <w:cantSplit/>
        </w:trPr>
        <w:tc>
          <w:tcPr>
            <w:tcW w:w="2098" w:type="dxa"/>
            <w:tcMar>
              <w:top w:w="80" w:type="dxa"/>
              <w:left w:w="80" w:type="dxa"/>
              <w:bottom w:w="80" w:type="dxa"/>
              <w:right w:w="80" w:type="dxa"/>
            </w:tcMar>
            <w:vAlign w:val="center"/>
          </w:tcPr>
          <w:p w14:paraId="60817E83" w14:textId="77777777" w:rsidR="00DB072F" w:rsidRDefault="0053141D">
            <w:pPr>
              <w:pStyle w:val="Reviso2Table"/>
              <w:spacing w:before="100" w:after="100"/>
            </w:pPr>
            <w:r>
              <w:t>O que a carteira representa</w:t>
            </w:r>
          </w:p>
        </w:tc>
        <w:tc>
          <w:tcPr>
            <w:tcW w:w="3118" w:type="dxa"/>
            <w:tcMar>
              <w:top w:w="80" w:type="dxa"/>
              <w:left w:w="80" w:type="dxa"/>
              <w:bottom w:w="80" w:type="dxa"/>
              <w:right w:w="80" w:type="dxa"/>
            </w:tcMar>
            <w:vAlign w:val="center"/>
          </w:tcPr>
          <w:p w14:paraId="62DF4E51" w14:textId="77777777" w:rsidR="00DB072F" w:rsidRDefault="0053141D">
            <w:pPr>
              <w:pStyle w:val="Reviso2Table"/>
              <w:spacing w:before="100" w:after="100"/>
            </w:pPr>
            <w:r>
              <w:t>Gorton et al. (2013); Ubilava (2012); CME Group (s.d.)</w:t>
            </w:r>
          </w:p>
        </w:tc>
        <w:tc>
          <w:tcPr>
            <w:tcW w:w="3855" w:type="dxa"/>
            <w:tcMar>
              <w:top w:w="80" w:type="dxa"/>
              <w:left w:w="80" w:type="dxa"/>
              <w:bottom w:w="80" w:type="dxa"/>
              <w:right w:w="80" w:type="dxa"/>
            </w:tcMar>
            <w:vAlign w:val="center"/>
          </w:tcPr>
          <w:p w14:paraId="2BCC5464" w14:textId="77777777" w:rsidR="00DB072F" w:rsidRDefault="0053141D">
            <w:pPr>
              <w:pStyle w:val="Reviso2Table"/>
              <w:spacing w:before="100" w:after="100"/>
            </w:pPr>
            <w:r>
              <w:t>Distinguir exposição financeira, referência contínua e preço físico.</w:t>
            </w:r>
          </w:p>
        </w:tc>
      </w:tr>
      <w:tr w:rsidR="00DB072F" w14:paraId="10E3C66E" w14:textId="77777777">
        <w:trPr>
          <w:cantSplit/>
        </w:trPr>
        <w:tc>
          <w:tcPr>
            <w:tcW w:w="2098" w:type="dxa"/>
            <w:shd w:val="clear" w:color="auto" w:fill="F7F7F7"/>
            <w:tcMar>
              <w:top w:w="80" w:type="dxa"/>
              <w:left w:w="80" w:type="dxa"/>
              <w:bottom w:w="80" w:type="dxa"/>
              <w:right w:w="80" w:type="dxa"/>
            </w:tcMar>
            <w:vAlign w:val="center"/>
          </w:tcPr>
          <w:p w14:paraId="7C97559F" w14:textId="77777777" w:rsidR="00DB072F" w:rsidRDefault="0053141D">
            <w:pPr>
              <w:pStyle w:val="Reviso2Table"/>
              <w:spacing w:before="100" w:after="100"/>
            </w:pPr>
            <w:r>
              <w:t>Como representar volatilidade e estados</w:t>
            </w:r>
          </w:p>
        </w:tc>
        <w:tc>
          <w:tcPr>
            <w:tcW w:w="3118" w:type="dxa"/>
            <w:shd w:val="clear" w:color="auto" w:fill="F7F7F7"/>
            <w:tcMar>
              <w:top w:w="80" w:type="dxa"/>
              <w:left w:w="80" w:type="dxa"/>
              <w:bottom w:w="80" w:type="dxa"/>
              <w:right w:w="80" w:type="dxa"/>
            </w:tcMar>
            <w:vAlign w:val="center"/>
          </w:tcPr>
          <w:p w14:paraId="54BCAEF8" w14:textId="77777777" w:rsidR="00DB072F" w:rsidRDefault="0053141D">
            <w:pPr>
              <w:pStyle w:val="Reviso2Table"/>
              <w:spacing w:before="100" w:after="100"/>
            </w:pPr>
            <w:r>
              <w:t>Bollerslev (1986); Hamilton (1989); Haas et al. (2004)</w:t>
            </w:r>
          </w:p>
        </w:tc>
        <w:tc>
          <w:tcPr>
            <w:tcW w:w="3855" w:type="dxa"/>
            <w:shd w:val="clear" w:color="auto" w:fill="F7F7F7"/>
            <w:tcMar>
              <w:top w:w="80" w:type="dxa"/>
              <w:left w:w="80" w:type="dxa"/>
              <w:bottom w:w="80" w:type="dxa"/>
              <w:right w:w="80" w:type="dxa"/>
            </w:tcMar>
            <w:vAlign w:val="center"/>
          </w:tcPr>
          <w:p w14:paraId="659143D2" w14:textId="77777777" w:rsidR="00DB072F" w:rsidRDefault="0053141D">
            <w:pPr>
              <w:pStyle w:val="Reviso2Table"/>
              <w:spacing w:before="100" w:after="100"/>
            </w:pPr>
            <w:r>
              <w:t>Comparar dinâmicas de variância e regimes sem presumir superioridade.</w:t>
            </w:r>
          </w:p>
        </w:tc>
      </w:tr>
      <w:tr w:rsidR="00DB072F" w14:paraId="6F869AFD" w14:textId="77777777">
        <w:trPr>
          <w:cantSplit/>
        </w:trPr>
        <w:tc>
          <w:tcPr>
            <w:tcW w:w="2098" w:type="dxa"/>
            <w:tcMar>
              <w:top w:w="80" w:type="dxa"/>
              <w:left w:w="80" w:type="dxa"/>
              <w:bottom w:w="80" w:type="dxa"/>
              <w:right w:w="80" w:type="dxa"/>
            </w:tcMar>
            <w:vAlign w:val="center"/>
          </w:tcPr>
          <w:p w14:paraId="0D401619" w14:textId="77777777" w:rsidR="00DB072F" w:rsidRDefault="0053141D">
            <w:pPr>
              <w:pStyle w:val="Reviso2Table"/>
              <w:spacing w:before="100" w:after="100"/>
            </w:pPr>
            <w:r>
              <w:t>O que a rede efetivamente prevê</w:t>
            </w:r>
          </w:p>
        </w:tc>
        <w:tc>
          <w:tcPr>
            <w:tcW w:w="3118" w:type="dxa"/>
            <w:tcMar>
              <w:top w:w="80" w:type="dxa"/>
              <w:left w:w="80" w:type="dxa"/>
              <w:bottom w:w="80" w:type="dxa"/>
              <w:right w:w="80" w:type="dxa"/>
            </w:tcMar>
            <w:vAlign w:val="center"/>
          </w:tcPr>
          <w:p w14:paraId="6E9C7008" w14:textId="77777777" w:rsidR="00DB072F" w:rsidRDefault="0053141D">
            <w:pPr>
              <w:pStyle w:val="Reviso2Table"/>
              <w:spacing w:before="100" w:after="100"/>
            </w:pPr>
            <w:r>
              <w:t>Fischer e Krauss (2018); De Mel (2026)</w:t>
            </w:r>
          </w:p>
        </w:tc>
        <w:tc>
          <w:tcPr>
            <w:tcW w:w="3855" w:type="dxa"/>
            <w:tcMar>
              <w:top w:w="80" w:type="dxa"/>
              <w:left w:w="80" w:type="dxa"/>
              <w:bottom w:w="80" w:type="dxa"/>
              <w:right w:w="80" w:type="dxa"/>
            </w:tcMar>
            <w:vAlign w:val="center"/>
          </w:tcPr>
          <w:p w14:paraId="0282D088" w14:textId="77777777" w:rsidR="00DB072F" w:rsidRDefault="0053141D">
            <w:pPr>
              <w:pStyle w:val="Reviso2Table"/>
              <w:spacing w:before="100" w:after="100"/>
            </w:pPr>
            <w:r>
              <w:t>Separar retorno, volatilidade e quantil na escolha do alvo.</w:t>
            </w:r>
          </w:p>
        </w:tc>
      </w:tr>
      <w:tr w:rsidR="00DB072F" w14:paraId="58A032D2" w14:textId="77777777">
        <w:trPr>
          <w:cantSplit/>
        </w:trPr>
        <w:tc>
          <w:tcPr>
            <w:tcW w:w="2098" w:type="dxa"/>
            <w:shd w:val="clear" w:color="auto" w:fill="F7F7F7"/>
            <w:tcMar>
              <w:top w:w="80" w:type="dxa"/>
              <w:left w:w="80" w:type="dxa"/>
              <w:bottom w:w="80" w:type="dxa"/>
              <w:right w:w="80" w:type="dxa"/>
            </w:tcMar>
            <w:vAlign w:val="center"/>
          </w:tcPr>
          <w:p w14:paraId="19F4D4D9" w14:textId="77777777" w:rsidR="00DB072F" w:rsidRDefault="0053141D">
            <w:pPr>
              <w:pStyle w:val="Reviso2Table"/>
              <w:spacing w:before="100" w:after="100"/>
            </w:pPr>
            <w:r>
              <w:t>Como passar da previsão para o risco</w:t>
            </w:r>
          </w:p>
        </w:tc>
        <w:tc>
          <w:tcPr>
            <w:tcW w:w="3118" w:type="dxa"/>
            <w:shd w:val="clear" w:color="auto" w:fill="F7F7F7"/>
            <w:tcMar>
              <w:top w:w="80" w:type="dxa"/>
              <w:left w:w="80" w:type="dxa"/>
              <w:bottom w:w="80" w:type="dxa"/>
              <w:right w:w="80" w:type="dxa"/>
            </w:tcMar>
            <w:vAlign w:val="center"/>
          </w:tcPr>
          <w:p w14:paraId="609659D4" w14:textId="77777777" w:rsidR="00DB072F" w:rsidRDefault="0053141D">
            <w:pPr>
              <w:pStyle w:val="Reviso2Table"/>
              <w:spacing w:before="100" w:after="100"/>
            </w:pPr>
            <w:r>
              <w:t>Acerbi e Tasche (2002); Gal e Ghahramani (2016); Hull e White (1998)</w:t>
            </w:r>
          </w:p>
        </w:tc>
        <w:tc>
          <w:tcPr>
            <w:tcW w:w="3855" w:type="dxa"/>
            <w:shd w:val="clear" w:color="auto" w:fill="F7F7F7"/>
            <w:tcMar>
              <w:top w:w="80" w:type="dxa"/>
              <w:left w:w="80" w:type="dxa"/>
              <w:bottom w:w="80" w:type="dxa"/>
              <w:right w:w="80" w:type="dxa"/>
            </w:tcMar>
            <w:vAlign w:val="center"/>
          </w:tcPr>
          <w:p w14:paraId="0301016C" w14:textId="77777777" w:rsidR="00DB072F" w:rsidRDefault="0053141D">
            <w:pPr>
              <w:pStyle w:val="Reviso2Table"/>
              <w:spacing w:before="100" w:after="100"/>
            </w:pPr>
            <w:r>
              <w:t>Representar a variabilidade dos retornos e justificar a cauda.</w:t>
            </w:r>
          </w:p>
        </w:tc>
      </w:tr>
      <w:tr w:rsidR="00DB072F" w14:paraId="20EAD541" w14:textId="77777777">
        <w:trPr>
          <w:cantSplit/>
        </w:trPr>
        <w:tc>
          <w:tcPr>
            <w:tcW w:w="2098" w:type="dxa"/>
            <w:tcMar>
              <w:top w:w="80" w:type="dxa"/>
              <w:left w:w="80" w:type="dxa"/>
              <w:bottom w:w="80" w:type="dxa"/>
              <w:right w:w="80" w:type="dxa"/>
            </w:tcMar>
            <w:vAlign w:val="center"/>
          </w:tcPr>
          <w:p w14:paraId="14CA910A" w14:textId="77777777" w:rsidR="00DB072F" w:rsidRDefault="0053141D">
            <w:pPr>
              <w:pStyle w:val="Reviso2Table"/>
              <w:spacing w:before="100" w:after="100"/>
            </w:pPr>
            <w:r>
              <w:t>Como avaliar previsões concorrentes</w:t>
            </w:r>
          </w:p>
        </w:tc>
        <w:tc>
          <w:tcPr>
            <w:tcW w:w="3118" w:type="dxa"/>
            <w:tcMar>
              <w:top w:w="80" w:type="dxa"/>
              <w:left w:w="80" w:type="dxa"/>
              <w:bottom w:w="80" w:type="dxa"/>
              <w:right w:w="80" w:type="dxa"/>
            </w:tcMar>
            <w:vAlign w:val="center"/>
          </w:tcPr>
          <w:p w14:paraId="3A2AE295" w14:textId="77777777" w:rsidR="00DB072F" w:rsidRDefault="0053141D">
            <w:pPr>
              <w:pStyle w:val="Reviso2Table"/>
              <w:spacing w:before="100" w:after="100"/>
            </w:pPr>
            <w:r>
              <w:t>Kupiec (1995); Christoffersen (1998); Fissler e Ziegel (2016)</w:t>
            </w:r>
          </w:p>
        </w:tc>
        <w:tc>
          <w:tcPr>
            <w:tcW w:w="3855" w:type="dxa"/>
            <w:tcMar>
              <w:top w:w="80" w:type="dxa"/>
              <w:left w:w="80" w:type="dxa"/>
              <w:bottom w:w="80" w:type="dxa"/>
              <w:right w:w="80" w:type="dxa"/>
            </w:tcMar>
            <w:vAlign w:val="center"/>
          </w:tcPr>
          <w:p w14:paraId="1A433F94" w14:textId="77777777" w:rsidR="00DB072F" w:rsidRDefault="0053141D">
            <w:pPr>
              <w:pStyle w:val="Reviso2Table"/>
              <w:spacing w:before="100" w:after="100"/>
            </w:pPr>
            <w:r>
              <w:t>Examinar cobertura, dependência e qualidade das medidas de cauda.</w:t>
            </w:r>
          </w:p>
        </w:tc>
      </w:tr>
      <w:tr w:rsidR="00DB072F" w14:paraId="4C527014" w14:textId="77777777">
        <w:trPr>
          <w:cantSplit/>
        </w:trPr>
        <w:tc>
          <w:tcPr>
            <w:tcW w:w="2098" w:type="dxa"/>
            <w:shd w:val="clear" w:color="auto" w:fill="F7F7F7"/>
            <w:tcMar>
              <w:top w:w="80" w:type="dxa"/>
              <w:left w:w="80" w:type="dxa"/>
              <w:bottom w:w="80" w:type="dxa"/>
              <w:right w:w="80" w:type="dxa"/>
            </w:tcMar>
            <w:vAlign w:val="center"/>
          </w:tcPr>
          <w:p w14:paraId="6C03D2D6" w14:textId="77777777" w:rsidR="00DB072F" w:rsidRDefault="0053141D">
            <w:pPr>
              <w:pStyle w:val="Reviso2Table"/>
              <w:spacing w:before="100" w:after="100"/>
            </w:pPr>
            <w:r>
              <w:t>Como interpretar ganhos e limites</w:t>
            </w:r>
          </w:p>
        </w:tc>
        <w:tc>
          <w:tcPr>
            <w:tcW w:w="3118" w:type="dxa"/>
            <w:shd w:val="clear" w:color="auto" w:fill="F7F7F7"/>
            <w:tcMar>
              <w:top w:w="80" w:type="dxa"/>
              <w:left w:w="80" w:type="dxa"/>
              <w:bottom w:w="80" w:type="dxa"/>
              <w:right w:w="80" w:type="dxa"/>
            </w:tcMar>
            <w:vAlign w:val="center"/>
          </w:tcPr>
          <w:p w14:paraId="69BC4CBB" w14:textId="77777777" w:rsidR="00DB072F" w:rsidRDefault="0053141D">
            <w:pPr>
              <w:pStyle w:val="Reviso2Table"/>
              <w:spacing w:before="100" w:after="100"/>
            </w:pPr>
            <w:r>
              <w:t>Diebold e Mariano (1995); Janzing et al. (2020)</w:t>
            </w:r>
          </w:p>
        </w:tc>
        <w:tc>
          <w:tcPr>
            <w:tcW w:w="3855" w:type="dxa"/>
            <w:shd w:val="clear" w:color="auto" w:fill="F7F7F7"/>
            <w:tcMar>
              <w:top w:w="80" w:type="dxa"/>
              <w:left w:w="80" w:type="dxa"/>
              <w:bottom w:w="80" w:type="dxa"/>
              <w:right w:w="80" w:type="dxa"/>
            </w:tcMar>
            <w:vAlign w:val="center"/>
          </w:tcPr>
          <w:p w14:paraId="77D89ED6" w14:textId="77777777" w:rsidR="00DB072F" w:rsidRDefault="0053141D">
            <w:pPr>
              <w:pStyle w:val="Reviso2Table"/>
              <w:spacing w:before="100" w:after="100"/>
            </w:pPr>
            <w:r>
              <w:t>Distinguir precisão preditiva, não inferioridade e explicação causal.</w:t>
            </w:r>
          </w:p>
        </w:tc>
      </w:tr>
    </w:tbl>
    <w:p w14:paraId="11A27E51" w14:textId="77777777" w:rsidR="00DB072F" w:rsidRDefault="0053141D">
      <w:pPr>
        <w:pStyle w:val="Reviso2Body"/>
        <w:spacing w:after="240"/>
        <w:ind w:firstLine="0"/>
      </w:pPr>
      <w:r>
        <w:rPr>
          <w:sz w:val="20"/>
        </w:rPr>
        <w:t>Fonte: elaboração do autor a partir das referências indicadas.</w:t>
      </w:r>
    </w:p>
    <w:p w14:paraId="21D4B51B" w14:textId="77777777" w:rsidR="00DB072F" w:rsidRDefault="0053141D">
      <w:pPr>
        <w:pStyle w:val="Reviso2Body"/>
      </w:pPr>
      <w:r>
        <w:t>A avaliação combina cobertura, dependência das violações e severidade das perdas para responder à pergunta de pesquisa. A comparação entre as redes sob a mesma regra de calibração examina especificamente o valor preditivo das entradas de regime; a comparação com o MS-GARCH confronta os procedimentos completos.</w:t>
      </w:r>
    </w:p>
    <w:p w14:paraId="783491D0" w14:textId="77777777" w:rsidR="00DB072F" w:rsidRDefault="0053141D">
      <w:pPr>
        <w:pStyle w:val="Reviso2Chapter"/>
      </w:pPr>
      <w:bookmarkStart w:id="29" w:name="_Toc243470608"/>
      <w:r>
        <w:lastRenderedPageBreak/>
        <w:t>3 METODOLOGIA</w:t>
      </w:r>
      <w:bookmarkEnd w:id="29"/>
    </w:p>
    <w:p w14:paraId="13CAE3EF" w14:textId="77777777" w:rsidR="00DB072F" w:rsidRDefault="0053141D">
      <w:pPr>
        <w:pStyle w:val="Reviso2Body"/>
      </w:pPr>
      <w:r>
        <w:t>A pesquisa é aplicada e quantitativa. O experimento combina preparação de séries financeiras, identificação de regimes, previsão de retorno e avaliação fora da amostra. Este capítulo descreve o procedimento executado e suas limitações. Os resultados devem ser lidos como evidência para o índice construído e para a amostra disponível.</w:t>
      </w:r>
    </w:p>
    <w:p w14:paraId="6996F59A" w14:textId="77777777" w:rsidR="00DB072F" w:rsidRDefault="0053141D">
      <w:pPr>
        <w:pStyle w:val="Reviso2Heading"/>
      </w:pPr>
      <w:bookmarkStart w:id="30" w:name="_Toc243470609"/>
      <w:r>
        <w:t>3.1 Universo da pesquisa e definição da exposição</w:t>
      </w:r>
      <w:bookmarkEnd w:id="30"/>
    </w:p>
    <w:p w14:paraId="5F591479" w14:textId="77777777" w:rsidR="00DB072F" w:rsidRDefault="0053141D">
      <w:pPr>
        <w:pStyle w:val="Reviso2Body"/>
      </w:pPr>
      <w:r>
        <w:t>A carteira reúne SLC Agrícola, JBS, Marfrig/MBRF e São Martinho, referências futuras de soja e café arábica e USD/BRL. Os identificadores usados na coleta são SLCE3.SA, JBSS32.SA, MBRF3.SA, SMTO3.SA, ZS=F, KC=F e BRL=X. O histórico das ações fornecido pelo Yahoo exige atenção às reorganizações societárias e à representação por BDR. O identificador atual não comprova, sozinho, continuidade do instrumento negociado em todo o período.</w:t>
      </w:r>
    </w:p>
    <w:p w14:paraId="777345A3" w14:textId="77777777" w:rsidR="00DB072F" w:rsidRDefault="0053141D">
      <w:pPr>
        <w:pStyle w:val="Reviso2Body"/>
      </w:pPr>
      <w:r>
        <w:t>A coleta foi configurada para 2005 a 2024. A cobertura comum disponível começa em junho de 2007 e termina em março de 2024, limitada pelo café. A avaliação reúne 23 janelas e 2.717 pregões, de 1º de outubro de 2012 a 27 de março de 2024. Entram apenas sequências completas e alvos válidos; as datas e as exclusões são registradas por janela.</w:t>
      </w:r>
    </w:p>
    <w:p w14:paraId="1C437CB2" w14:textId="77777777" w:rsidR="00DB072F" w:rsidRDefault="0053141D">
      <w:pPr>
        <w:pStyle w:val="Reviso2Body"/>
      </w:pPr>
      <w:r>
        <w:t>Os sete componentes recebem pesos iguais, definidos antes do período de retorno. O retorno simples agregado é a média ponderada dos retornos simples, e o retorno logarítmico da carteira é calculado depois dessa agregação. Os pesos são rebalanceados diariamente na definição do índice. Essa construção representa uma aproximação de exposição por referências de preços; não reproduz automaticamente a contabilidade de contratos futuros com multiplicadores, margens, colateral, ajustes diários e custos. Resultados do índice não serão apresentados como rentabilidade de uma carteira operacional plenamente especificada.</w:t>
      </w:r>
    </w:p>
    <w:p w14:paraId="64138384" w14:textId="77777777" w:rsidR="00DB072F" w:rsidRDefault="0053141D">
      <w:pPr>
        <w:pStyle w:val="Reviso2Body"/>
      </w:pPr>
      <w:r>
        <w:t>A LSTM prevê um único alvo: o log-retorno agregado do próximo pregão. As entradas contêm várias variáveis, mas a rede não prevê separadamente o retorno de cada ativo. A origem da previsão deve ocorrer depois de disponibilizadas as informações usadas. O horizonte de risco é um pregão, e a perda proporcional é expressa em retorno simples.</w:t>
      </w:r>
    </w:p>
    <w:p w14:paraId="5BA94A66" w14:textId="77777777" w:rsidR="00DB072F" w:rsidRDefault="0053141D">
      <w:pPr>
        <w:pStyle w:val="Reviso2Heading"/>
      </w:pPr>
      <w:bookmarkStart w:id="31" w:name="_Toc243470610"/>
      <w:r>
        <w:t>3.2 Fontes, construção das séries e variáveis candidatas</w:t>
      </w:r>
      <w:bookmarkEnd w:id="31"/>
    </w:p>
    <w:p w14:paraId="08981708" w14:textId="77777777" w:rsidR="00DB072F" w:rsidRDefault="0053141D">
      <w:pPr>
        <w:pStyle w:val="Reviso2Body"/>
      </w:pPr>
      <w:r>
        <w:t xml:space="preserve">As ações e o câmbio são obtidos do Yahoo Finance. Os futuros de soja e café são reconstruídos com os arquivos de preços múltiplos do pysystemtrade, fixados por commit e conferidos por SHA256. O ajuste de rolagem usa a razão entre preços simultâneos dos dois </w:t>
      </w:r>
      <w:r>
        <w:lastRenderedPageBreak/>
        <w:t>contratos no registro anterior à troca. A fonte contém apenas fechamento, por isso não fornece OHLCV para os futuros. O horário de 23h é nocional; o uso desses registros não comprova a disponibilidade intradiária dos preços.</w:t>
      </w:r>
    </w:p>
    <w:p w14:paraId="4DB83791" w14:textId="77777777" w:rsidR="00DB072F" w:rsidRDefault="0053141D">
      <w:pPr>
        <w:pStyle w:val="Reviso2Body"/>
      </w:pPr>
      <w:r>
        <w:t>Os futuros são convertidos para reais com o câmbio da mesma data antes do cálculo das variáveis. O calendário de referência é o da B3. Como os mercados têm horários diferentes, esse alinhamento por data é uma aproximação e não garante simultaneidade das cotações. A interpretação prospectiva permanece condicionada à verificação dos horários das fontes. Os indicadores físicos do Cepea são mantidos em análise separada, pois representam outra exposição.</w:t>
      </w:r>
    </w:p>
    <w:p w14:paraId="2F388F37" w14:textId="77777777" w:rsidR="00DB072F" w:rsidRDefault="0053141D">
      <w:pPr>
        <w:pStyle w:val="Reviso2Body"/>
      </w:pPr>
      <w:r>
        <w:t>As entradas incluem retornos de 1, 5 e 21 pregões, volatilidades móveis, GARCH univariado, assimetria, curtose, medidas de liquidez e volatilidade implícita. Garman–Klass e Corwin–Schultz são calculados apenas onde existem os preços necessários. O câmbio não recebe volume normalizado e os futuros com apenas fechamento não recebem variáveis de OHLCV. VIX e a exportação Bloomberg do Ibovespa representam condições de mercado; não são medidas implícitas do índice da carteira. As séries macroeconômicas coletadas não integram automaticamente o painel usado no experimento.</w:t>
      </w:r>
    </w:p>
    <w:p w14:paraId="27DB0D25" w14:textId="77777777" w:rsidR="00DB072F" w:rsidRDefault="0053141D">
      <w:pPr>
        <w:pStyle w:val="Reviso2Body"/>
      </w:pPr>
      <w:r>
        <w:t>Os preços ausentes recebem preenchimento para a frente nos primeiros três pregões, usando somente o último valor disponível. As demais lacunas são mantidas. Essa regra também cobre feriados do mercado de origem quando a B3 abre, mas um preço carregado não corresponde a uma negociação observada. Não há interpolação com preços futuros. Seleção de variáveis, VIF e padronização das entradas são ajustados apenas no treino de cada janela.</w:t>
      </w:r>
    </w:p>
    <w:p w14:paraId="199407F4" w14:textId="77777777" w:rsidR="00DB072F" w:rsidRDefault="0053141D">
      <w:pPr>
        <w:pStyle w:val="Reviso2Heading"/>
      </w:pPr>
      <w:bookmarkStart w:id="32" w:name="_Toc243470611"/>
      <w:r>
        <w:t>3.3 Organização temporal e preparação das sequências</w:t>
      </w:r>
      <w:bookmarkEnd w:id="32"/>
    </w:p>
    <w:p w14:paraId="5F01E85E" w14:textId="77777777" w:rsidR="00DB072F" w:rsidRDefault="0053141D">
      <w:pPr>
        <w:pStyle w:val="Reviso2Body"/>
      </w:pPr>
      <w:r>
        <w:t>Cada janela walk-forward contém cinco anos de desenvolvimento e seis meses de teste, com avanço de seis meses. Os últimos 252 pregões do desenvolvimento são reservados à calibração. A validação ocupa 15% do período restante, e o restante é usado no treino. As sequências têm 42 pregões. A reserva de calibração e as lacunas reduzem a quantidade efetiva de exemplos de treinamento.</w:t>
      </w:r>
    </w:p>
    <w:p w14:paraId="673C37FC" w14:textId="77777777" w:rsidR="00DB072F" w:rsidRDefault="0053141D">
      <w:pPr>
        <w:pStyle w:val="Reviso2Body"/>
      </w:pPr>
      <w:r>
        <w:t>A origem e o alvo são registrados por sequência. Uma sequência só entra quando todas as entradas dos 42 pregões estão completas e o retorno do próximo pregão pertence ao mesmo bloco. As lacunas não são comprimidas. As transformações ajustadas no treino permanecem fixas na validação, na calibração e no teste.</w:t>
      </w:r>
    </w:p>
    <w:p w14:paraId="0C3CB696" w14:textId="77777777" w:rsidR="00DB072F" w:rsidRDefault="0053141D">
      <w:pPr>
        <w:pStyle w:val="Reviso2Body"/>
      </w:pPr>
      <w:r>
        <w:t xml:space="preserve">O teste avalia previsões definidas sem consultar suas realizações para escolher hiperparâmetros. Alterações posteriores são identificadas como novos experimentos. A </w:t>
      </w:r>
      <w:r>
        <w:lastRenderedPageBreak/>
        <w:t>repetição de uma execução para verificar sua reprodução não é usada para selecionar uma configuração pelo desempenho no teste.</w:t>
      </w:r>
    </w:p>
    <w:p w14:paraId="10354B86" w14:textId="77777777" w:rsidR="00DB072F" w:rsidRDefault="0053141D">
      <w:pPr>
        <w:pStyle w:val="Reviso2Heading"/>
      </w:pPr>
      <w:bookmarkStart w:id="33" w:name="_Toc243470612"/>
      <w:r>
        <w:t>3.4 Identificação e utilização dos regimes</w:t>
      </w:r>
      <w:bookmarkEnd w:id="33"/>
    </w:p>
    <w:p w14:paraId="679EFB8A" w14:textId="77777777" w:rsidR="00DB072F" w:rsidRDefault="0053141D">
      <w:pPr>
        <w:pStyle w:val="Reviso2Body"/>
      </w:pPr>
      <w:r>
        <w:t>O HMM gaussiano utiliza o retorno agregado e as volatilidades móveis calculadas com retornos diários em 21 e 63 pregões (Hamilton, 1989; Rabiner, 1989). São comparados dois, três e quatro estados, com múltiplas inicializações e seleção pelo BIC no treino. As tentativas sem convergência são descartadas. A caracterização in-sample do notebook 03 é separada dos ajustes usados nas previsões walk-forward.</w:t>
      </w:r>
    </w:p>
    <w:p w14:paraId="5924CF3F" w14:textId="77777777" w:rsidR="00DB072F" w:rsidRDefault="0053141D">
      <w:pPr>
        <w:pStyle w:val="Reviso2Body"/>
      </w:pPr>
      <w:r>
        <w:t>A previsão recebe o estado mais provável do filtro Forward, calculado com parâmetros estimados no treino e observações disponíveis até a origem. Os estados são ordenados pela volatilidade estimada no treinamento; o mais volátil define o estresse. Viterbi é usado para a caracterização histórica, sem fornecer os rótulos de teste à rede.</w:t>
      </w:r>
    </w:p>
    <w:p w14:paraId="742F9639" w14:textId="77777777" w:rsidR="00DB072F" w:rsidRDefault="0053141D">
      <w:pPr>
        <w:pStyle w:val="Reviso2Body"/>
      </w:pPr>
      <w:r>
        <w:t>O estado filtrado entra na HMM-LSTM como codificação one-hot. A LSTM de comparação recebe as mesmas variáveis selecionadas, sem essas colunas. As redes têm o mesmo procedimento de treinamento. A classificação em um único estado descarta parte da incerteza do HMM, o que limita sua interpretação.</w:t>
      </w:r>
    </w:p>
    <w:p w14:paraId="60A30FF3" w14:textId="77777777" w:rsidR="00DB072F" w:rsidRDefault="0053141D">
      <w:pPr>
        <w:pStyle w:val="Reviso2Heading"/>
      </w:pPr>
      <w:bookmarkStart w:id="34" w:name="_Toc243470613"/>
      <w:r>
        <w:t>3.5 LSTM e previsão pontual do retorno</w:t>
      </w:r>
      <w:bookmarkEnd w:id="34"/>
    </w:p>
    <w:p w14:paraId="6AA7D83B" w14:textId="77777777" w:rsidR="00DB072F" w:rsidRDefault="0053141D">
      <w:pPr>
        <w:pStyle w:val="Reviso2Body"/>
      </w:pPr>
      <w:r>
        <w:t>As redes têm duas camadas LSTM, de 64 e 32 unidades, dropout de 0,3 e uma saída escalar para o log-retorno seguinte. O treinamento usa Adam, taxa de 0,001, lotes de 32 e erro quadrático. O alvo é dividido pelo desvio-padrão do treino, sem subtrair a média. A parada antecipada tem paciência de 15 épocas e seleciona o menor erro de validação. O dropout é aplicado por módulos explícitos entre as camadas e na saída, sem implementação de dropout variacional recorrente.</w:t>
      </w:r>
    </w:p>
    <w:p w14:paraId="441F5269" w14:textId="77777777" w:rsidR="00DB072F" w:rsidRDefault="0053141D">
      <w:pPr>
        <w:pStyle w:val="Reviso2Body"/>
      </w:pPr>
      <w:r>
        <w:t>Os hiperparâmetros foram fixados, sem busca em grade. A execução usa CPU e sementes registradas. São salvos a configuração, as colunas selecionadas, a escala do alvo, o histórico de treinamento, a época escolhida e o checkpoint de cada rede. Essa configuração não é apresentada como ótima.</w:t>
      </w:r>
    </w:p>
    <w:p w14:paraId="00A94D1B" w14:textId="77777777" w:rsidR="00DB072F" w:rsidRDefault="0053141D">
      <w:pPr>
        <w:pStyle w:val="Reviso2Heading"/>
      </w:pPr>
      <w:bookmarkStart w:id="35" w:name="_Toc243470614"/>
      <w:r>
        <w:t>3.6 Incerteza, calibração e cálculo de VaR e ES</w:t>
      </w:r>
      <w:bookmarkEnd w:id="35"/>
    </w:p>
    <w:p w14:paraId="79FFB8CE" w14:textId="77777777" w:rsidR="00DB072F" w:rsidRDefault="0053141D">
      <w:pPr>
        <w:pStyle w:val="Reviso2Body"/>
      </w:pPr>
      <w:r>
        <w:t xml:space="preserve">São feitas mil passagens com MC Dropout por origem para resumir as previsões da rede. A média dessas passagens fornece a localização usada na calibração, enquanto sua dispersão </w:t>
      </w:r>
      <w:r>
        <w:lastRenderedPageBreak/>
        <w:t>permanece como diagnóstico de incerteza do modelo. Ela não é tratada isoladamente como distribuição dos retornos (Gal; Ghahramani, 2016; Kendall; Gal, 2017).</w:t>
      </w:r>
    </w:p>
    <w:p w14:paraId="6261B949" w14:textId="77777777" w:rsidR="00DB072F" w:rsidRDefault="0053141D">
      <w:pPr>
        <w:pStyle w:val="Reviso2Body"/>
      </w:pPr>
      <w:r>
        <w:t>Na calibração, cada erro de retorno é dividido pela volatilidade EWMA conhecida na origem, com persistência de 0,94. No teste, os cenários somam a previsão da média ao produto entre a escala EWMA vigente e os erros padronizados. Essa simulação histórica filtrada permite atualizar a dispersão ao longo do teste (Hull; White, 1998).</w:t>
      </w:r>
    </w:p>
    <w:p w14:paraId="5A0E140A" w14:textId="77777777" w:rsidR="00DB072F" w:rsidRDefault="0053141D">
      <w:pPr>
        <w:pStyle w:val="Reviso2Body"/>
      </w:pPr>
      <w:r>
        <w:t>Na especificação principal, a HMM-LSTM usa os erros do regime corrente quando existem pelo menos 100 observações; caso contrário, utiliza o conjunto completo. Na rodada de referência, os 289 dias de estresse recorreram ao conjunto completo. Portanto, não houve calibração específica da cauda de estresse nessa rodada. A comparação principal modifica tanto a entrada da rede quanto a regra de calibração. Uma análise adicional recalcula a HMM-LSTM com todos os erros, mantendo as mesmas previsões de média, para comparar as redes sob a mesma regra de cauda.</w:t>
      </w:r>
    </w:p>
    <w:p w14:paraId="69239A66" w14:textId="77777777" w:rsidR="00DB072F" w:rsidRDefault="0053141D">
      <w:pPr>
        <w:pStyle w:val="Reviso2Body"/>
      </w:pPr>
      <w:r>
        <w:t>Os erros de calibração são posteriores à escolha da rede e anteriores ao teste. Cada cenário de log-retorno é convertido em perda simples por L = 1 − exp(r). O VaR é o quantil empírico das perdas e o ES considera a massa de cauda correspondente, incluindo a fração necessária do átomo no quantil. Ganhos permanecem negativos na convenção de perdas (Acerbi; Tasche, 2002).</w:t>
      </w:r>
    </w:p>
    <w:p w14:paraId="15E721EF" w14:textId="77777777" w:rsidR="00DB072F" w:rsidRDefault="0053141D">
      <w:pPr>
        <w:pStyle w:val="Reviso2Heading"/>
      </w:pPr>
      <w:bookmarkStart w:id="36" w:name="_Toc243470615"/>
      <w:r>
        <w:t>3.7 Benchmark econométrico e referências de comparação</w:t>
      </w:r>
      <w:bookmarkEnd w:id="36"/>
    </w:p>
    <w:p w14:paraId="5F0D905C" w14:textId="77777777" w:rsidR="00DB072F" w:rsidRDefault="0053141D">
      <w:pPr>
        <w:pStyle w:val="Reviso2Body"/>
      </w:pPr>
      <w:r>
        <w:t>O MS-GARCH é ajustado sobre o mesmo retorno agregado, com a formulação de Haas, Mittnik e Paolella (2004) e o pacote MSGARCH (Ardia et al., 2019). A especificação é sGARCH(1,1) com inovações Student-t, comparando dois e três estados por BIC nos cinco anos de desenvolvimento. Os parâmetros ficam congelados no teste e a previsão de cada alvo usa retornos anteriores a ele. São registrados ajustes, resíduos, previsões, configuração e versões do R e dos pacotes.</w:t>
      </w:r>
    </w:p>
    <w:p w14:paraId="2667FEA7" w14:textId="77777777" w:rsidR="00DB072F" w:rsidRDefault="0053141D">
      <w:pPr>
        <w:pStyle w:val="Reviso2Body"/>
      </w:pPr>
      <w:r>
        <w:t>O cálculo principal de VaR e ES do MS-GARCH usa sua volatilidade condicional e os resíduos padronizados do desenvolvimento, por FHS. A distribuição Student-t prevista fornece uma análise paramétrica separada. O benchmark é ajustado diretamente ao retorno agregado, sem somar variâncias individuais e ignorar covariâncias. As redes usam erros dos 252 pregões reservados à calibração, enquanto o MS-GARCH usa resíduos do desenvolvimento; essa diferença faz parte da comparação entre os procedimentos completos.</w:t>
      </w:r>
    </w:p>
    <w:p w14:paraId="7EA10F5A" w14:textId="77777777" w:rsidR="00DB072F" w:rsidRDefault="0053141D">
      <w:pPr>
        <w:pStyle w:val="Reviso2Body"/>
      </w:pPr>
      <w:r>
        <w:t xml:space="preserve">A LSTM sem regimes avalia o acréscimo das entradas de estado à rede, e a FHS-EWMA de média zero ajuda a examinar o efeito da previsão de retorno. A análise com calibração </w:t>
      </w:r>
      <w:r>
        <w:lastRenderedPageBreak/>
        <w:t>conjunta mantém a regra de cauda igual nas duas redes. Essa comparação descreve ganho preditivo na aplicação, sem identificar um efeito causal econômico do regime.</w:t>
      </w:r>
    </w:p>
    <w:p w14:paraId="03D6E2DD" w14:textId="77777777" w:rsidR="00DB072F" w:rsidRDefault="0053141D">
      <w:pPr>
        <w:pStyle w:val="Reviso2Heading"/>
      </w:pPr>
      <w:bookmarkStart w:id="37" w:name="_Toc243470616"/>
      <w:r>
        <w:t>3.8 Avaliação fora da amostra e comparação estatística</w:t>
      </w:r>
      <w:bookmarkEnd w:id="37"/>
    </w:p>
    <w:p w14:paraId="65C9F2CD" w14:textId="77777777" w:rsidR="00DB072F" w:rsidRDefault="0053141D">
      <w:pPr>
        <w:pStyle w:val="Reviso2Body"/>
      </w:pPr>
      <w:r>
        <w:t>A cobertura é examinada por taxas de violações, intervalos binomiais e testes de Kupiec (1995) e Christoffersen (1998). As transições usam somente sessões adjacentes do calendário, inclusive nas avaliações por regime. Contagens pequenas limitam as aproximações assintóticas, sobretudo no VaR a 99% e nos dias de estresse.</w:t>
      </w:r>
    </w:p>
    <w:p w14:paraId="0F749D5C" w14:textId="77777777" w:rsidR="00DB072F" w:rsidRDefault="0053141D">
      <w:pPr>
        <w:pStyle w:val="Reviso2Body"/>
      </w:pPr>
      <w:r>
        <w:t>O ES é avaliado pela estatística Z2 de Acerbi e Székely (2014). O p-valor unilateral usa 999 simulações das distribuições previstas, mantendo os VaR e ES fixos. Essa referência não reproduz a reestimação nem a dependência temporal dos retornos e é interpretada sob essa limitação. O escore FZ0 complementa a comparação conjunta de VaR e ES quando o ES é positivo (Fissler; Ziegel, 2016).</w:t>
      </w:r>
    </w:p>
    <w:p w14:paraId="07C581B5" w14:textId="77777777" w:rsidR="00DB072F" w:rsidRDefault="0053141D">
      <w:pPr>
        <w:pStyle w:val="Reviso2Body"/>
      </w:pPr>
      <w:r>
        <w:t>O teste de Diebold–Mariano compara escores nas mesmas datas, com variância HAC de Bartlett e cinco defasagens (Diebold; Mariano, 1995). São usados escore quantílico, FZ0 e, na avaliação da distribuição, CRPS. Valores-p não recebem correção de multiplicidade e dependem da estabilidade das diferenças de perda. H3 segue o critério original de diferença pelo DM; não foi executado um teste de não inferioridade econômica.</w:t>
      </w:r>
    </w:p>
    <w:p w14:paraId="3F0DA178" w14:textId="77777777" w:rsidR="00DB072F" w:rsidRDefault="0053141D">
      <w:pPr>
        <w:pStyle w:val="Reviso2Heading"/>
      </w:pPr>
      <w:bookmarkStart w:id="38" w:name="_Toc243470617"/>
      <w:r>
        <w:t>3.9 Interpretação complementar dos modelos</w:t>
      </w:r>
      <w:bookmarkEnd w:id="38"/>
    </w:p>
    <w:p w14:paraId="08F85296" w14:textId="77777777" w:rsidR="00DB072F" w:rsidRDefault="0053141D">
      <w:pPr>
        <w:pStyle w:val="Reviso2Body"/>
      </w:pPr>
      <w:r>
        <w:t>A análise SHAP utiliza GradientExplainer nas janelas 14 e 20, com dropout desligado e até 200 sequências de treino como referência. Explica a saída determinística da rede em unidades de retorno padronizado, não diretamente a média das passagens com dropout, o VaR ou o ES. Para a importância por variável, somam-se primeiro as contribuições nas defasagens, calcula-se seu valor absoluto por dia e depois a média entre os dias; sinais opostos podem se cancelar nessa soma. As contribuições são também agrupadas por tipo de variável e examinadas por defasagem (Lundberg; Lee, 2017; Janzing; Minorics; Blöbaum, 2020).</w:t>
      </w:r>
    </w:p>
    <w:p w14:paraId="3984FDBD" w14:textId="77777777" w:rsidR="00DB072F" w:rsidRDefault="0053141D">
      <w:pPr>
        <w:pStyle w:val="Reviso2Heading"/>
      </w:pPr>
      <w:bookmarkStart w:id="39" w:name="_Toc243470618"/>
      <w:r>
        <w:t>3.10 Aspectos computacionais e reprodutibilidade</w:t>
      </w:r>
      <w:bookmarkEnd w:id="39"/>
    </w:p>
    <w:p w14:paraId="3E070CCF" w14:textId="77777777" w:rsidR="00DB072F" w:rsidRDefault="0053141D">
      <w:pPr>
        <w:pStyle w:val="Reviso2Body"/>
      </w:pPr>
      <w:r>
        <w:t>Python é usado na preparação dos dados, no HMM, nas redes e na avaliação. O benchmark usa R e MSGARCH, com troca de arquivos parquet. As novas execuções registram versões, configuração e hashes dos dados e do código antes do treinamento. A retomada exige compatibilidade desses registros e conferência das previsões, calibrações e checkpoints por janela.</w:t>
      </w:r>
    </w:p>
    <w:p w14:paraId="2F83302D" w14:textId="77777777" w:rsidR="00DB072F" w:rsidRDefault="0053141D">
      <w:pPr>
        <w:pStyle w:val="Reviso2Body"/>
      </w:pPr>
      <w:r>
        <w:lastRenderedPageBreak/>
        <w:t>As saídas históricas são preservadas com a identificação de sua origem. Seus registros não permitem reconstruir retroativamente toda a configuração ou os checkpoints. A nova execução produz esses artefatos desde o início, sem atribuir às rodadas anteriores uma rastreabilidade que elas não tinham. A disponibilização das entradas continua condicionada às permissões das fontes, inclusive a exportação Bloomberg.</w:t>
      </w:r>
    </w:p>
    <w:p w14:paraId="56DBF30E" w14:textId="77777777" w:rsidR="00DB072F" w:rsidRDefault="0053141D">
      <w:pPr>
        <w:pStyle w:val="Reviso2Heading"/>
      </w:pPr>
      <w:bookmarkStart w:id="40" w:name="_Toc243470619"/>
      <w:r>
        <w:t>3.11 Critérios de conclusão e interpretação dos resultados</w:t>
      </w:r>
      <w:bookmarkEnd w:id="40"/>
    </w:p>
    <w:p w14:paraId="4F084F94" w14:textId="77777777" w:rsidR="00DB072F" w:rsidRDefault="0053141D">
      <w:pPr>
        <w:pStyle w:val="Reviso2Body"/>
      </w:pPr>
      <w:r>
        <w:t>A interpretação considera tamanho da amostra, precisão na cauda, estabilidade dos estados e limitações dos testes. A avaliação da distribuição também usa PIT, KS e Berkowitz. No Berkowitz, somente pares de sessões adjacentes entram na regressão; as lacunas e o número de pares excluídos são registrados. O KS é tratado como diagnóstico marginal, sem corrigir dependência temporal.</w:t>
      </w:r>
    </w:p>
    <w:p w14:paraId="0CE1C566" w14:textId="77777777" w:rsidR="00DB072F" w:rsidRDefault="0053141D">
      <w:pPr>
        <w:pStyle w:val="Reviso2Body"/>
      </w:pPr>
      <w:r>
        <w:t>A comparação com calibração conjunta distingue o acréscimo das entradas de regime da alteração na seleção dos erros. Os resultados são interpretados para o índice construído e para os períodos avaliados, considerando as limitações de disponibilidade temporal das fontes e de representação das perdas extremas.</w:t>
      </w:r>
    </w:p>
    <w:p w14:paraId="4C5E8B5B" w14:textId="77777777" w:rsidR="00DB072F" w:rsidRDefault="0053141D">
      <w:pPr>
        <w:pStyle w:val="Reviso2Chapter"/>
      </w:pPr>
      <w:bookmarkStart w:id="41" w:name="_Toc243470620"/>
      <w:r>
        <w:lastRenderedPageBreak/>
        <w:t>4 RESULTADOS E DISCUSSÃO</w:t>
      </w:r>
      <w:bookmarkEnd w:id="41"/>
    </w:p>
    <w:p w14:paraId="62150FD4" w14:textId="77777777" w:rsidR="00DB072F" w:rsidRDefault="0053141D">
      <w:pPr>
        <w:pStyle w:val="Reviso2Body"/>
      </w:pPr>
      <w:r>
        <w:t>A rodada de referência avalia 23 janelas e 2.717 pregões, dos quais 289 foram classificados como estresse na origem da previsão. No total, as frequências de violações dos quatro modelos ficam próximas das nominais. Essa cobertura não se mantém em todos os segmentos: no estresse, a HMM-LSTM apresenta 8,0% de violações a 95% e 2,4% a 99%, contra 6,6% e 2,1% do MS-GARCH.</w:t>
      </w:r>
    </w:p>
    <w:p w14:paraId="5D0D15D3" w14:textId="77777777" w:rsidR="00DB072F" w:rsidRDefault="0053141D">
      <w:pPr>
        <w:pStyle w:val="Reviso2Body"/>
      </w:pPr>
      <w:r>
        <w:t>H1 é atendida apenas no critério de cobertura: Kupiec não rejeita a frequência total de violações da HMM-LSTM, mas seus escores são piores que os do MS-GARCH. Assim, a hipótese composta não recebe sustentação integral. H2 não é sustentada, pois a HMM-LSTM apresenta maior desvio de cobertura no estresse; os testes individuais de independência não demonstram menor agrupamento em relação ao benchmark. H3 é rejeitada nos demais regimes pelos escores quantílico e FZ0. Esses resultados não constituem teste de equivalência ou de não inferioridade econômica.</w:t>
      </w:r>
    </w:p>
    <w:p w14:paraId="5A0B2960" w14:textId="77777777" w:rsidR="00F052CA" w:rsidRDefault="00D2386F">
      <w:pPr>
        <w:pStyle w:val="Reviso2Body"/>
      </w:pPr>
      <w:r>
        <w:t>A avaliação do ES a 99% rejeita, a 5%, as duas redes e a FHS-EWMA no conjunto dos dias (p = 0,005, 0,008 e 0,006), mas não o MS-GARCH (p = 0,605). No estresse, rejeita os quatro modelos nos dois níveis de confiança. Portanto, a frequência agregada de violações do VaR oculta problemas na severidade das perdas. Essa interpretação permanece condicionada à referência simulada com previsões fixas descrita na seção 3.8.</w:t>
      </w:r>
    </w:p>
    <w:p w14:paraId="793F2D06" w14:textId="77777777" w:rsidR="00DB072F" w:rsidRDefault="0053141D">
      <w:pPr>
        <w:pStyle w:val="Reviso2Body"/>
      </w:pPr>
      <w:r>
        <w:t>O MS-GARCH apresenta o menor CRPS médio no total, seguido de FHS-EWMA, LSTM e HMM-LSTM. A vantagem nos escores não elimina seus problemas de especificação: o Berkowitz rejeita o benchmark no total, mesmo depois de excluir pares separados por lacunas. O KS, por sua vez, não rejeita sua distribuição marginal. Os dois diagnósticos examinam propriedades diferentes e precisam ser discutidos em conjunto.</w:t>
      </w:r>
    </w:p>
    <w:p w14:paraId="07AF47A1" w14:textId="77777777" w:rsidR="00DB072F" w:rsidRDefault="0053141D">
      <w:pPr>
        <w:pStyle w:val="Reviso2Body"/>
      </w:pPr>
      <w:r>
        <w:t>A análise com calibração conjunta mantém as previsões pontuais e usa todos os erros nas duas redes. No total, os testes DM não detectam diferença entre HMM-LSTM e LSTM nos escores quantílico a 95% e 99% (p aproximadamente 0,166 e 0,482) ou FZ0 (p aproximadamente 0,233 e 0,449). Nos demais regimes, o escore quantílico a 95% é pior na HMM-LSTM (p aproximadamente 0,036); as demais comparações entre as redes não detectam diferença a 5%. Não há, nessa análise, evidência de ganho da rede com as entradas de regime. A ausência de diferença detectável também não comprova equivalência.</w:t>
      </w:r>
    </w:p>
    <w:p w14:paraId="6A5B961F" w14:textId="77777777" w:rsidR="00DB072F" w:rsidRDefault="0053141D">
      <w:pPr>
        <w:pStyle w:val="Reviso2Body"/>
      </w:pPr>
      <w:r>
        <w:t xml:space="preserve">Nos dias de estresse, a especificação principal já usava todos os erros, e a ablação não modifica o risco previsto. Mantidos escala e resíduos, uma previsão média mais positiva desloca a distribuição de perdas para baixo. Nas janelas 14 e 20, as colunas de regime representam cerca </w:t>
      </w:r>
      <w:r>
        <w:lastRenderedPageBreak/>
        <w:t>de 1% e 4% da importância SHAP agregada, respectivamente. Essas proporções se referem à saída determinística e à agregação descritas na seção 3.9; não medem o efeito causal do HMM nem sua contribuição direta ao VaR ou ao ES.</w:t>
      </w:r>
    </w:p>
    <w:p w14:paraId="569B0AA9" w14:textId="77777777" w:rsidR="00DB072F" w:rsidRDefault="0053141D">
      <w:pPr>
        <w:pStyle w:val="Reviso2Body"/>
      </w:pPr>
      <w:r>
        <w:t>O erro quadrático das redes supera o da previsão de retorno zero em 36 dos 46 ajustes da rodada de referência. A seleção de épocas iniciais pela parada antecipada sugere pouca utilidade de prolongar o treinamento; isoladamente, não identifica a causa do desempenho inferior. Em conjunto com os escores de risco, os resultados indicam que a previsão de média dessas redes não acrescentou benefício consistente à atualização de volatilidade e à calibração empregadas.</w:t>
      </w:r>
    </w:p>
    <w:p w14:paraId="14F4E8B6" w14:textId="77777777" w:rsidR="00DB072F" w:rsidRDefault="0053141D">
      <w:pPr>
        <w:pStyle w:val="Reviso2Body"/>
      </w:pPr>
      <w:r>
        <w:t>A calibração efetiva varia entre 145 e 251 erros por janela, o que deixa poucas observações na cauda de 1%. O uso de cenários computacionais não aumenta a quantidade de episódios extremos observados. Os resultados também dependem do índice de preços construído, dos ajustes das séries e da aproximação de disponibilidade por data. Esses limites impedem generalizar a comparação para uma carteira operacional de futuros ou para outras configurações de rede.</w:t>
      </w:r>
    </w:p>
    <w:p w14:paraId="12905680" w14:textId="77777777" w:rsidR="00F052CA" w:rsidRDefault="00D2386F">
      <w:pPr>
        <w:pStyle w:val="Reviso2Chapter"/>
      </w:pPr>
      <w:bookmarkStart w:id="42" w:name="_Toc243470621"/>
      <w:r>
        <w:lastRenderedPageBreak/>
        <w:t>5 CONCLUSÃO</w:t>
      </w:r>
      <w:bookmarkEnd w:id="42"/>
    </w:p>
    <w:p w14:paraId="465331CF" w14:textId="77777777" w:rsidR="00F052CA" w:rsidRDefault="00D2386F">
      <w:pPr>
        <w:pStyle w:val="Reviso2Body"/>
      </w:pPr>
      <w:r>
        <w:t>Na configuração e na amostra avaliadas, a incorporação do estado filtrado do HMM à LSTM não produziu ganho consistente na previsão de VaR e ES. Com calibração conjunta, os escores totais não detectam vantagem da HMM-LSTM sobre a LSTM. Frente ao MS-GARCH, a rede híbrida apresenta escores piores e maior frequência de violações no estresse. A resposta à pergunta de pesquisa é, portanto, negativa para este experimento, sem implicar que outras arquiteturas ou exposições terão o mesmo resultado.</w:t>
      </w:r>
    </w:p>
    <w:p w14:paraId="00AAACB7" w14:textId="77777777" w:rsidR="00F052CA" w:rsidRDefault="00D2386F">
      <w:pPr>
        <w:pStyle w:val="Reviso2Body"/>
      </w:pPr>
      <w:r>
        <w:t>A contribuição do estudo está na comparação documentada entre os procedimentos e na identificação dos limites da combinação testada. As janelas contêm poucos erros extremos, todos os dias de estresse utilizaram a cauda conjunta e a explicação SHAP cobre apenas duas janelas. Além disso, o índice de preços não reproduz o resultado operacional de futuros e o alinhamento por data não resolve a disponibilidade intradiária das fontes. A extensão para outras exposições exige nova avaliação; para a entrega, permane</w:t>
      </w:r>
      <w:r>
        <w:t>cem a conferência das fontes e a discussão das decisões metodológicas com o orientador.</w:t>
      </w:r>
    </w:p>
    <w:p w14:paraId="2EB0AC24" w14:textId="77777777" w:rsidR="00DB072F" w:rsidRDefault="0053141D">
      <w:pPr>
        <w:pStyle w:val="Reviso2Chapter"/>
      </w:pPr>
      <w:bookmarkStart w:id="43" w:name="_Toc243470622"/>
      <w:r>
        <w:lastRenderedPageBreak/>
        <w:t>6 CRONOGRAMA DE ATIVIDADES</w:t>
      </w:r>
      <w:bookmarkEnd w:id="43"/>
    </w:p>
    <w:p w14:paraId="4AC8BBBE" w14:textId="77777777" w:rsidR="00DB072F" w:rsidRDefault="0053141D">
      <w:pPr>
        <w:pStyle w:val="Reviso2Body"/>
      </w:pPr>
      <w:r>
        <w:t>O cronograma reúne a conferência das execuções, a redação dos resultados e a revisão final até 1º de dezembro de 2026. A modelagem principal e a análise SHAP já foram executadas. Permanecem a consolidação do texto, a revisão com o orientador e a preparação da apresentação.</w:t>
      </w:r>
    </w:p>
    <w:p w14:paraId="11D74520" w14:textId="77777777" w:rsidR="00DB072F" w:rsidRDefault="0053141D">
      <w:pPr>
        <w:pStyle w:val="Reviso2Caption"/>
      </w:pPr>
      <w:r>
        <w:t>Quadro 2 — Planejamento das etapas restantes</w:t>
      </w:r>
    </w:p>
    <w:tbl>
      <w:tblPr>
        <w:tblW w:w="907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400"/>
        <w:gridCol w:w="6672"/>
      </w:tblGrid>
      <w:tr w:rsidR="00DB072F" w14:paraId="069802B0" w14:textId="77777777">
        <w:trPr>
          <w:cantSplit/>
          <w:tblHeader/>
        </w:trPr>
        <w:tc>
          <w:tcPr>
            <w:tcW w:w="2400" w:type="dxa"/>
            <w:shd w:val="clear" w:color="auto" w:fill="E7E6E6"/>
            <w:vAlign w:val="center"/>
          </w:tcPr>
          <w:p w14:paraId="0A83975F" w14:textId="77777777" w:rsidR="00DB072F" w:rsidRDefault="0053141D">
            <w:pPr>
              <w:pStyle w:val="Reviso2Table"/>
            </w:pPr>
            <w:r>
              <w:rPr>
                <w:b/>
              </w:rPr>
              <w:t>Período previsto</w:t>
            </w:r>
          </w:p>
        </w:tc>
        <w:tc>
          <w:tcPr>
            <w:tcW w:w="6672" w:type="dxa"/>
            <w:shd w:val="clear" w:color="auto" w:fill="E7E6E6"/>
            <w:vAlign w:val="center"/>
          </w:tcPr>
          <w:p w14:paraId="7552DA92" w14:textId="77777777" w:rsidR="00DB072F" w:rsidRDefault="0053141D">
            <w:pPr>
              <w:pStyle w:val="Reviso2Table"/>
            </w:pPr>
            <w:r>
              <w:rPr>
                <w:b/>
              </w:rPr>
              <w:t>Atividade e dependências</w:t>
            </w:r>
          </w:p>
        </w:tc>
      </w:tr>
      <w:tr w:rsidR="00DB072F" w14:paraId="0DF3A2C9" w14:textId="77777777">
        <w:trPr>
          <w:cantSplit/>
        </w:trPr>
        <w:tc>
          <w:tcPr>
            <w:tcW w:w="2400" w:type="dxa"/>
            <w:vAlign w:val="center"/>
          </w:tcPr>
          <w:p w14:paraId="10ABBFEE" w14:textId="77777777" w:rsidR="00DB072F" w:rsidRDefault="0053141D">
            <w:pPr>
              <w:pStyle w:val="Reviso2Table"/>
            </w:pPr>
            <w:r>
              <w:t>19 a 25 de outubro</w:t>
            </w:r>
          </w:p>
        </w:tc>
        <w:tc>
          <w:tcPr>
            <w:tcW w:w="6672" w:type="dxa"/>
            <w:vAlign w:val="center"/>
          </w:tcPr>
          <w:p w14:paraId="27EEC476" w14:textId="77777777" w:rsidR="00DB072F" w:rsidRDefault="0053141D">
            <w:pPr>
              <w:pStyle w:val="Reviso2Table"/>
            </w:pPr>
            <w:r>
              <w:t>Conferir a execução reproduzível, as fontes, a cobertura dos dados e as limitações de disponibilidade temporal.</w:t>
            </w:r>
          </w:p>
        </w:tc>
      </w:tr>
      <w:tr w:rsidR="00DB072F" w14:paraId="1767ECFB" w14:textId="77777777">
        <w:trPr>
          <w:cantSplit/>
        </w:trPr>
        <w:tc>
          <w:tcPr>
            <w:tcW w:w="2400" w:type="dxa"/>
            <w:shd w:val="clear" w:color="auto" w:fill="F7F7F7"/>
            <w:vAlign w:val="center"/>
          </w:tcPr>
          <w:p w14:paraId="56B8AA2C" w14:textId="77777777" w:rsidR="00DB072F" w:rsidRDefault="0053141D">
            <w:pPr>
              <w:pStyle w:val="Reviso2Table"/>
            </w:pPr>
            <w:r>
              <w:t>26 de outubro a 8 de novembro</w:t>
            </w:r>
          </w:p>
        </w:tc>
        <w:tc>
          <w:tcPr>
            <w:tcW w:w="6672" w:type="dxa"/>
            <w:shd w:val="clear" w:color="auto" w:fill="F7F7F7"/>
            <w:vAlign w:val="center"/>
          </w:tcPr>
          <w:p w14:paraId="056539D2" w14:textId="77777777" w:rsidR="00DB072F" w:rsidRDefault="0053141D">
            <w:pPr>
              <w:pStyle w:val="Reviso2Table"/>
            </w:pPr>
            <w:r>
              <w:t>Consolidar a comparação com calibração conjunta e integrar metodologia, resultados e discussão.</w:t>
            </w:r>
          </w:p>
        </w:tc>
      </w:tr>
      <w:tr w:rsidR="00DB072F" w14:paraId="7DF0D07A" w14:textId="77777777">
        <w:trPr>
          <w:cantSplit/>
        </w:trPr>
        <w:tc>
          <w:tcPr>
            <w:tcW w:w="2400" w:type="dxa"/>
            <w:vAlign w:val="center"/>
          </w:tcPr>
          <w:p w14:paraId="08FB1BCC" w14:textId="77777777" w:rsidR="00DB072F" w:rsidRDefault="0053141D">
            <w:pPr>
              <w:pStyle w:val="Reviso2Table"/>
            </w:pPr>
            <w:r>
              <w:t>9 a 15 de novembro</w:t>
            </w:r>
          </w:p>
        </w:tc>
        <w:tc>
          <w:tcPr>
            <w:tcW w:w="6672" w:type="dxa"/>
            <w:vAlign w:val="center"/>
          </w:tcPr>
          <w:p w14:paraId="246626F2" w14:textId="77777777" w:rsidR="00DB072F" w:rsidRDefault="0053141D">
            <w:pPr>
              <w:pStyle w:val="Reviso2Table"/>
            </w:pPr>
            <w:r>
              <w:t>Revisar a interpretação das hipóteses, dos backtests e das limitações estatísticas.</w:t>
            </w:r>
          </w:p>
        </w:tc>
      </w:tr>
      <w:tr w:rsidR="00DB072F" w14:paraId="2FA7544E" w14:textId="77777777">
        <w:trPr>
          <w:cantSplit/>
        </w:trPr>
        <w:tc>
          <w:tcPr>
            <w:tcW w:w="2400" w:type="dxa"/>
            <w:shd w:val="clear" w:color="auto" w:fill="F7F7F7"/>
            <w:vAlign w:val="center"/>
          </w:tcPr>
          <w:p w14:paraId="1A7ACBDD" w14:textId="77777777" w:rsidR="00DB072F" w:rsidRDefault="0053141D">
            <w:pPr>
              <w:pStyle w:val="Reviso2Table"/>
            </w:pPr>
            <w:r>
              <w:t>16 a 22 de novembro</w:t>
            </w:r>
          </w:p>
        </w:tc>
        <w:tc>
          <w:tcPr>
            <w:tcW w:w="6672" w:type="dxa"/>
            <w:shd w:val="clear" w:color="auto" w:fill="F7F7F7"/>
            <w:vAlign w:val="center"/>
          </w:tcPr>
          <w:p w14:paraId="73EB945B" w14:textId="77777777" w:rsidR="00F052CA" w:rsidRDefault="00D2386F">
            <w:r>
              <w:t>Revisar resultados, discussão e conclusão; harmonizar a interpretação das hipóteses e conferir os materiais de apresentação.</w:t>
            </w:r>
          </w:p>
        </w:tc>
      </w:tr>
      <w:tr w:rsidR="00DB072F" w14:paraId="67792863" w14:textId="77777777">
        <w:trPr>
          <w:cantSplit/>
        </w:trPr>
        <w:tc>
          <w:tcPr>
            <w:tcW w:w="2400" w:type="dxa"/>
            <w:vAlign w:val="center"/>
          </w:tcPr>
          <w:p w14:paraId="415A07E2" w14:textId="77777777" w:rsidR="00DB072F" w:rsidRDefault="0053141D">
            <w:pPr>
              <w:pStyle w:val="Reviso2Table"/>
            </w:pPr>
            <w:r>
              <w:t>23 de novembro a 1º de dezembro</w:t>
            </w:r>
          </w:p>
        </w:tc>
        <w:tc>
          <w:tcPr>
            <w:tcW w:w="6672" w:type="dxa"/>
            <w:vAlign w:val="center"/>
          </w:tcPr>
          <w:p w14:paraId="35ED30E2" w14:textId="77777777" w:rsidR="00DB072F" w:rsidRDefault="0053141D">
            <w:pPr>
              <w:pStyle w:val="Reviso2Table"/>
            </w:pPr>
            <w:r>
              <w:t>Revisar o texto, conferir referências e exigências institucionais, preparar o pôster e os arquivos de entrega.</w:t>
            </w:r>
          </w:p>
        </w:tc>
      </w:tr>
    </w:tbl>
    <w:p w14:paraId="2E0F5973" w14:textId="77777777" w:rsidR="00DB072F" w:rsidRDefault="0053141D">
      <w:pPr>
        <w:pStyle w:val="Reviso2Source"/>
      </w:pPr>
      <w:r>
        <w:t>Fonte: planejamento do autor, sujeito às dependências indicadas.</w:t>
      </w:r>
    </w:p>
    <w:p w14:paraId="1DE75171" w14:textId="77777777" w:rsidR="00DB072F" w:rsidRDefault="0053141D">
      <w:pPr>
        <w:pStyle w:val="Reviso2Chapter"/>
      </w:pPr>
      <w:bookmarkStart w:id="44" w:name="_Toc243470623"/>
      <w:r>
        <w:lastRenderedPageBreak/>
        <w:t>REFERÊNCIAS</w:t>
      </w:r>
      <w:bookmarkEnd w:id="44"/>
    </w:p>
    <w:p w14:paraId="4E2C2C86" w14:textId="77777777" w:rsidR="00DB072F" w:rsidRDefault="0053141D">
      <w:pPr>
        <w:pStyle w:val="Reviso2Reference"/>
      </w:pPr>
      <w:r>
        <w:t>ACERBI, Carlo; TASCHE, Dirk. On the coherence of expected shortfall. Journal of Banking &amp; Finance, v. 26, n. 7, p. 1487–1503, 2002. DOI: https://doi.org/10.1016/S0378-4266(02)00283-2. Disponível em: https://arxiv.org/abs/cond-mat/0104295. Acesso em: 19 out. 2026.</w:t>
      </w:r>
    </w:p>
    <w:p w14:paraId="0FB4EDAB" w14:textId="77777777" w:rsidR="00DB072F" w:rsidRDefault="0053141D">
      <w:pPr>
        <w:pStyle w:val="Reviso2Reference"/>
      </w:pPr>
      <w:r>
        <w:t>ACERBI, Carlo; SZÉKELY, Balázs. Backtesting expected shortfall. New York: MSCI, 2014. Disponível em: https://www.msci.com/documents/10199/22aa9922-f874-4060-b77a-0f0e267a489b. Acesso em: 19 out. 2026.</w:t>
      </w:r>
    </w:p>
    <w:p w14:paraId="2B0E7C8F" w14:textId="77777777" w:rsidR="00DB072F" w:rsidRDefault="0053141D">
      <w:pPr>
        <w:pStyle w:val="Reviso2Reference"/>
      </w:pPr>
      <w:r>
        <w:t>ARDIA, David; BLUTEAU, Keven; BOUDT, Kris; CATANIA, Leopoldo; TROTTIER, Denis-Alexandre. Markov-switching GARCH models in R: the MSGARCH package. Journal of Statistical Software, v. 91, n. 4, p. 1–38, 2019. DOI: https://doi.org/10.18637/jss.v091.i04. Disponível em: https://www.jstatsoft.org/article/view/v091i04. Acesso em: 19 out. 2026.</w:t>
      </w:r>
    </w:p>
    <w:p w14:paraId="65CD3FB5" w14:textId="77777777" w:rsidR="00DB072F" w:rsidRDefault="0053141D">
      <w:pPr>
        <w:pStyle w:val="Reviso2Reference"/>
      </w:pPr>
      <w:r>
        <w:t>ARIMOND, Alexander et al. Neural networks and value at risk in asset management. Review of Quantitative Finance and Accounting, v. 67, p. 277–316, 2026. DOI: https://doi.org/10.1007/s11156-025-01460-y. Disponível em: https://link.springer.com/article/10.1007/s11156-025-01460-y. Acesso em: 19 out. 2026.</w:t>
      </w:r>
    </w:p>
    <w:p w14:paraId="0E11E0B8" w14:textId="77777777" w:rsidR="00DB072F" w:rsidRDefault="0053141D">
      <w:pPr>
        <w:pStyle w:val="Reviso2Reference"/>
      </w:pPr>
      <w:r>
        <w:t>BOLLERSLEV, Tim. Generalized autoregressive conditional heteroskedasticity. Journal of Econometrics, v. 31, n. 3, p. 307–327, 1986. DOI: https://doi.org/10.1016/0304-4076(86)90063-1. Disponível em: https://public.econ.duke.edu/~boller/Published_Papers/joe_86.pdf. Acesso em: 19 out. 2026.</w:t>
      </w:r>
    </w:p>
    <w:p w14:paraId="5EE69DC7" w14:textId="77777777" w:rsidR="00DB072F" w:rsidRDefault="0053141D">
      <w:pPr>
        <w:pStyle w:val="Reviso2Reference"/>
      </w:pPr>
      <w:r>
        <w:t>CAMPANI, Carlos Heitor; DURÃES, Assis Gustavo da Silva. Forecasting USD-BRL currency rate volatility using realized and implied volatilities data. Estudos Econômicos, v. 48, n. 4, p. 687–719, 2018. DOI: https://doi.org/10.1590/0101-41614845cca. Disponível em: https://revistas.usp.br/ee/article/view/131900. Acesso em: 19 out. 2026.</w:t>
      </w:r>
    </w:p>
    <w:p w14:paraId="503FB834" w14:textId="77777777" w:rsidR="00DB072F" w:rsidRDefault="0053141D">
      <w:pPr>
        <w:pStyle w:val="Reviso2Reference"/>
      </w:pPr>
      <w:r>
        <w:t>CBOE GLOBAL MARKETS. Cboe VIX FAQ. Chicago: Cboe, [s.d.]. Disponível em: https://www.cboe.com/tradable_products/vix/faqs. Acesso em: 19 out. 2026.</w:t>
      </w:r>
    </w:p>
    <w:p w14:paraId="378A85B9" w14:textId="77777777" w:rsidR="00DB072F" w:rsidRDefault="0053141D">
      <w:pPr>
        <w:pStyle w:val="Reviso2Reference"/>
      </w:pPr>
      <w:r>
        <w:t>CENTRO DE ESTUDOS AVANÇADOS EM ECONOMIA APLICADA (CEPEA). Metodologia da Soja CEPEA/ESALQ — Paranaguá. Piracicaba: Esalq/USP, [s.d.]. Disponível em: https://cepea.org.br/br/metodologia/metodologia-da-soja-esalq-bm-fbovespa-paranagua.aspx. Acesso em: 19 out. 2026.</w:t>
      </w:r>
    </w:p>
    <w:p w14:paraId="5838D416" w14:textId="77777777" w:rsidR="00DB072F" w:rsidRDefault="0053141D">
      <w:pPr>
        <w:pStyle w:val="Reviso2Reference"/>
      </w:pPr>
      <w:r>
        <w:t>CHRISTOFFERSEN, Peter F. Evaluating interval forecasts. International Economic Review, v. 39, n. 4, p. 841–862, 1998. DOI: https://doi.org/10.2307/2527341. Disponível em: https://christoffersen.com/academic-papers/. Acesso em: 19 out. 2026.</w:t>
      </w:r>
    </w:p>
    <w:p w14:paraId="172D2D95" w14:textId="77777777" w:rsidR="00DB072F" w:rsidRDefault="0053141D">
      <w:pPr>
        <w:pStyle w:val="Reviso2Reference"/>
      </w:pPr>
      <w:r>
        <w:t>CME GROUP. Understanding futures expiration and contract roll. Chicago: CME Group, [s.d.]. Disponível em: https://www.cmegroup.com/education/courses/introduction-to-futures/understanding-futures-expiration-contract-roll. Acesso em: 19 out. 2026.</w:t>
      </w:r>
    </w:p>
    <w:p w14:paraId="3B3A5B96" w14:textId="77777777" w:rsidR="00DB072F" w:rsidRDefault="0053141D">
      <w:pPr>
        <w:pStyle w:val="Reviso2Reference"/>
      </w:pPr>
      <w:r>
        <w:t>CONT, Rama. Empirical properties of asset returns: stylized facts and statistical issues. Quantitative Finance, v. 1, n. 2, p. 223–236, 2001. DOI: https://doi.org/10.1080/713665670. Disponível em: https://doi.org/10.1080/713665670. Acesso em: 19 out. 2026.</w:t>
      </w:r>
    </w:p>
    <w:p w14:paraId="48D854A5" w14:textId="77777777" w:rsidR="00DB072F" w:rsidRDefault="0053141D">
      <w:pPr>
        <w:pStyle w:val="Reviso2Reference"/>
      </w:pPr>
      <w:r>
        <w:lastRenderedPageBreak/>
        <w:t>CORWIN, Shane A.; SCHULTZ, Paul. A simple way to estimate bid-ask spreads from daily high and low prices. The Journal of Finance, v. 67, n. 2, p. 719–760, 2012. DOI: https://doi.org/10.1111/j.1540-6261.2012.01729.x. Disponível em: https://onlinelibrary.wiley.com/doi/abs/10.1111/j.1540-6261.2012.01729.x. Acesso em: 19 out. 2026.</w:t>
      </w:r>
    </w:p>
    <w:p w14:paraId="2E341EE6" w14:textId="77777777" w:rsidR="00DB072F" w:rsidRDefault="0053141D">
      <w:pPr>
        <w:pStyle w:val="Reviso2Reference"/>
      </w:pPr>
      <w:r>
        <w:t>DE MEL, W. A. R. Value at risk of stock market returns using a hidden Markov–LSTM hybrid model. Sri Lankan Journal of Applied Statistics, v. 27, n. 1, p. 118–131, 2026. DOI: https://doi.org/10.4038/sljas.v27i1.8231. Disponível em: https://reference-global.com/article/10.4038/sljas.v27i1.8231. Acesso em: 19 out. 2026.</w:t>
      </w:r>
    </w:p>
    <w:p w14:paraId="2092390B" w14:textId="77777777" w:rsidR="00DB072F" w:rsidRDefault="0053141D">
      <w:pPr>
        <w:pStyle w:val="Reviso2Reference"/>
      </w:pPr>
      <w:r>
        <w:t>DIEBOLD, Francis X.; MARIANO, Roberto S. Comparing predictive accuracy. Journal of Business &amp; Economic Statistics, v. 13, n. 3, p. 253–263, 1995. DOI: https://doi.org/10.1080/07350015.1995.10524599. Disponível em: https://ink.library.smu.edu.sg/soe_research/347/. Acesso em: 19 out. 2026.</w:t>
      </w:r>
    </w:p>
    <w:p w14:paraId="24A32C85" w14:textId="77777777" w:rsidR="00DB072F" w:rsidRDefault="0053141D">
      <w:pPr>
        <w:pStyle w:val="Reviso2Reference"/>
      </w:pPr>
      <w:r>
        <w:t>ENGLE, Robert F. Autoregressive conditional heteroscedasticity with estimates of the variance of United Kingdom inflation. Econometrica, v. 50, n. 4, p. 987–1007, 1982. DOI: https://doi.org/10.2307/1912773. Disponível em: https://www.jstor.org/stable/1912773. Acesso em: 19 out. 2026.</w:t>
      </w:r>
    </w:p>
    <w:p w14:paraId="22EFB5C5" w14:textId="77777777" w:rsidR="00DB072F" w:rsidRDefault="0053141D">
      <w:pPr>
        <w:pStyle w:val="Reviso2Reference"/>
      </w:pPr>
      <w:r>
        <w:t>ENGLE, Robert F.; MANGANELLI, Simone. CAViaR: conditional autoregressive value at risk by regression quantiles. Journal of Business &amp; Economic Statistics, v. 22, n. 4, p. 367–381, 2004. DOI: https://doi.org/10.1198/073500104000000370. Disponível em: https://www.simonemanganelli.org/Simone/Research_files/caviarPublished.pdf. Acesso em: 19 out. 2026.</w:t>
      </w:r>
    </w:p>
    <w:p w14:paraId="611D1D08" w14:textId="77777777" w:rsidR="00DB072F" w:rsidRDefault="0053141D">
      <w:pPr>
        <w:pStyle w:val="Reviso2Reference"/>
      </w:pPr>
      <w:r>
        <w:t>FISCHER, Thomas; KRAUSS, Christopher. Deep learning with long short-term memory networks for financial market predictions. European Journal of Operational Research, v. 270, n. 2, p. 654–669, 2018. DOI: https://doi.org/10.1016/j.ejor.2017.11.054. Disponível em: https://cris.fau.de/publications/208534319/. Acesso em: 19 out. 2026.</w:t>
      </w:r>
    </w:p>
    <w:p w14:paraId="34EFAD46" w14:textId="77777777" w:rsidR="00DB072F" w:rsidRDefault="0053141D">
      <w:pPr>
        <w:pStyle w:val="Reviso2Reference"/>
      </w:pPr>
      <w:r>
        <w:t>FISSLER, Tobias; ZIEGEL, Johanna F. Higher order elicitability and Osband’s principle. The Annals of Statistics, v. 44, n. 4, p. 1680–1707, 2016. DOI: https://doi.org/10.1214/16-AOS1439. Disponível em: https://arxiv.org/abs/1503.08123. Acesso em: 19 out. 2026.</w:t>
      </w:r>
    </w:p>
    <w:p w14:paraId="69D72973" w14:textId="77777777" w:rsidR="00DB072F" w:rsidRDefault="0053141D">
      <w:pPr>
        <w:pStyle w:val="Reviso2Reference"/>
      </w:pPr>
      <w:r>
        <w:t>GAL, Yarin; GHAHRAMANI, Zoubin. Dropout as a Bayesian approximation: representing model uncertainty in deep learning. In: INTERNATIONAL CONFERENCE ON MACHINE LEARNING, 33., 2016, New York. Proceedings [...]. PMLR, v. 48, p. 1050–1059, 2016. Disponível em: https://proceedings.mlr.press/v48/gal16.html. Acesso em: 19 out. 2026.</w:t>
      </w:r>
    </w:p>
    <w:p w14:paraId="7E5E0481" w14:textId="77777777" w:rsidR="00DB072F" w:rsidRDefault="0053141D">
      <w:pPr>
        <w:pStyle w:val="Reviso2Reference"/>
      </w:pPr>
      <w:r>
        <w:t>GARMAN, Mark B.; KLASS, Michael J. On the estimation of security price volatilities from historical data. The Journal of Business, v. 53, n. 1, p. 67–78, 1980. DOI: https://doi.org/10.1086/296072. Disponível em: https://doi.org/10.1086/296072. Acesso em: 19 out. 2026.</w:t>
      </w:r>
    </w:p>
    <w:p w14:paraId="77DFBFFF" w14:textId="77777777" w:rsidR="00DB072F" w:rsidRDefault="0053141D">
      <w:pPr>
        <w:pStyle w:val="Reviso2Reference"/>
      </w:pPr>
      <w:r>
        <w:t>GERS, Felix A.; SCHMIDHUBER, Jürgen; CUMMINS, Fred. Learning to forget: continual prediction with LSTM. Neural Computation, v. 12, n. 10, p. 2451–2471, 2000. DOI: https://doi.org/10.1162/089976600300015015. Disponível em: https://doi.org/10.1162/089976600300015015. Acesso em: 19 out. 2026.</w:t>
      </w:r>
    </w:p>
    <w:p w14:paraId="5DD592A5" w14:textId="77777777" w:rsidR="00DB072F" w:rsidRDefault="0053141D">
      <w:pPr>
        <w:pStyle w:val="Reviso2Reference"/>
      </w:pPr>
      <w:r>
        <w:lastRenderedPageBreak/>
        <w:t>GORTON, Gary B.; HAYASHI, Fumio; ROUWENHORST, K. Geert. The fundamentals of commodity futures returns. Review of Finance, v. 17, n. 1, p. 35–105, 2013. DOI: https://doi.org/10.1093/rof/rfs019. Disponível em: https://faculty.som.yale.edu/garygorton/commodity-futures/. Acesso em: 19 out. 2026.</w:t>
      </w:r>
    </w:p>
    <w:p w14:paraId="6567AB44" w14:textId="77777777" w:rsidR="00DB072F" w:rsidRDefault="0053141D">
      <w:pPr>
        <w:pStyle w:val="Reviso2Reference"/>
      </w:pPr>
      <w:r>
        <w:t>HAAS, Markus; MITTNIK, Stefan; PAOLELLA, Marc S. A new approach to Markov-switching GARCH models. Journal of Financial Econometrics, v. 2, n. 4, p. 493–530, 2004. DOI: https://doi.org/10.1093/jjfinec/nbh020. Disponível em: https://doi.org/10.1093/jjfinec/nbh020. Acesso em: 19 out. 2026.</w:t>
      </w:r>
    </w:p>
    <w:p w14:paraId="55223C0C" w14:textId="77777777" w:rsidR="00DB072F" w:rsidRDefault="0053141D">
      <w:pPr>
        <w:pStyle w:val="Reviso2Reference"/>
      </w:pPr>
      <w:r>
        <w:t>HAMILTON, James D. A new approach to the economic analysis of nonstationary time series and the business cycle. Econometrica, v. 57, n. 2, p. 357–384, 1989. DOI: https://doi.org/10.2307/1912559. Disponível em: https://www.jstor.org/stable/1912559. Acesso em: 19 out. 2026.</w:t>
      </w:r>
    </w:p>
    <w:p w14:paraId="1D668B3A" w14:textId="77777777" w:rsidR="00DB072F" w:rsidRDefault="0053141D">
      <w:pPr>
        <w:pStyle w:val="Reviso2Reference"/>
      </w:pPr>
      <w:r>
        <w:t>HOCHREITER, Sepp; SCHMIDHUBER, Jürgen. Long short-term memory. Neural Computation, v. 9, n. 8, p. 1735–1780, 1997. DOI: https://doi.org/10.1162/neco.1997.9.8.1735. Disponível em: https://direct.mit.edu/neco/article/9/8/1735/6109/Long-Short-Term-Memory. Acesso em: 19 out. 2026.</w:t>
      </w:r>
    </w:p>
    <w:p w14:paraId="01F7F502" w14:textId="77777777" w:rsidR="00DB072F" w:rsidRDefault="0053141D">
      <w:pPr>
        <w:pStyle w:val="Reviso2Reference"/>
      </w:pPr>
      <w:r>
        <w:t>HULL, John; WHITE, Alan. Incorporating volatility updating into the historical simulation method for value-at-risk. Journal of Risk, v. 1, n. 1, p. 5–19, 1998. DOI: https://doi.org/10.21314/JOR.1998.001. Disponível em: https://www-2.rotman.utoronto.ca/~hull/downloadablepublications/VaR_VolUpdating.pdf. Acesso em: 19 out. 2026.</w:t>
      </w:r>
    </w:p>
    <w:p w14:paraId="207F0567" w14:textId="77777777" w:rsidR="00DB072F" w:rsidRDefault="0053141D">
      <w:pPr>
        <w:pStyle w:val="Reviso2Reference"/>
      </w:pPr>
      <w:r>
        <w:t>HYNDMAN, Rob J.; ATHANASOPOULOS, George. Forecasting: principles and practice. 3. ed. Melbourne: OTexts, 2021. Disponível em: https://otexts.com/fpp3/tscv.html. Acesso em: 19 out. 2026.</w:t>
      </w:r>
    </w:p>
    <w:p w14:paraId="43FEF253" w14:textId="77777777" w:rsidR="00DB072F" w:rsidRDefault="0053141D">
      <w:pPr>
        <w:pStyle w:val="Reviso2Reference"/>
      </w:pPr>
      <w:r>
        <w:t>JANZING, Dominik; MINORICS, Lenon; BLÖBAUM, Patrick. Feature relevance quantification in explainable AI: a causal problem. In: INTERNATIONAL CONFERENCE ON ARTIFICIAL INTELLIGENCE AND STATISTICS, 23., 2020. Proceedings [...]. PMLR, v. 108, p. 2907–2916, 2020. Disponível em: https://proceedings.mlr.press/v108/janzing20a.html. Acesso em: 19 out. 2026.</w:t>
      </w:r>
    </w:p>
    <w:p w14:paraId="26A32395" w14:textId="77777777" w:rsidR="00DB072F" w:rsidRDefault="0053141D">
      <w:pPr>
        <w:pStyle w:val="Reviso2Reference"/>
      </w:pPr>
      <w:r>
        <w:t>KENDALL, Alex; GAL, Yarin. What uncertainties do we need in Bayesian deep learning for computer vision? In: ADVANCES IN NEURAL INFORMATION PROCESSING SYSTEMS, v. 30, 2017. Proceedings [...]. Curran Associates, 2017. Disponível em: https://arxiv.org/abs/1703.04977. Acesso em: 19 out. 2026.</w:t>
      </w:r>
    </w:p>
    <w:p w14:paraId="5B98E544" w14:textId="77777777" w:rsidR="00DB072F" w:rsidRDefault="0053141D">
      <w:pPr>
        <w:pStyle w:val="Reviso2Reference"/>
      </w:pPr>
      <w:r>
        <w:t>KUPIEC, Paul H. Techniques for verifying the accuracy of risk measurement models. The Journal of Derivatives, v. 3, n. 2, p. 73–84, 1995. DOI: https://doi.org/10.3905/jod.1995.407942. Disponível em: https://papers.ssrn.com/sol3/papers.cfm?abstract_id=7065. Acesso em: 19 out. 2026.</w:t>
      </w:r>
    </w:p>
    <w:p w14:paraId="13A04F40" w14:textId="77777777" w:rsidR="00DB072F" w:rsidRDefault="0053141D">
      <w:pPr>
        <w:pStyle w:val="Reviso2Reference"/>
      </w:pPr>
      <w:r>
        <w:lastRenderedPageBreak/>
        <w:t>LUNDBERG, Scott M.; LEE, Su-In. A unified approach to interpreting model predictions. In: ADVANCES IN NEURAL INFORMATION PROCESSING SYSTEMS, v. 30, 2017. Proceedings [...]. Curran Associates, 2017. Disponível em: https://proceedings.neurips.cc/paper_files/paper/2017/hash/8a20a8621978632d76c43dfd28b67767-Abstract.html. Acesso em: 19 out. 2026.</w:t>
      </w:r>
    </w:p>
    <w:p w14:paraId="080D1329" w14:textId="77777777" w:rsidR="00F052CA" w:rsidRDefault="00D2386F">
      <w:pPr>
        <w:pStyle w:val="Reviso2Reference"/>
      </w:pPr>
      <w:r>
        <w:t>NAÇÕES UNIDAS BRASIL. Objetivo de Desenvolvimento Sustentável 8: Trabalho decente e crescimento econômico. [S. l.], [s.d.]a. Disponível em: https://brasil.un.org/pt-br/sdgs/8. Acesso em: 21 out. 2026.</w:t>
      </w:r>
    </w:p>
    <w:p w14:paraId="78A4B540" w14:textId="77777777" w:rsidR="00F052CA" w:rsidRDefault="00D2386F">
      <w:pPr>
        <w:pStyle w:val="Reviso2Reference"/>
      </w:pPr>
      <w:r>
        <w:t>NAÇÕES UNIDAS BRASIL. Objetivo de Desenvolvimento Sustentável 9: Indústria, inovação e infraestrutura. [S. l.], [s.d.]b. Disponível em: https://brasil.un.org/pt-br/sdgs/9. Acesso em: 21 out. 2026.</w:t>
      </w:r>
    </w:p>
    <w:p w14:paraId="61CA62A4" w14:textId="77777777" w:rsidR="00F052CA" w:rsidRDefault="00D2386F">
      <w:pPr>
        <w:pStyle w:val="Reviso2Reference"/>
      </w:pPr>
      <w:r>
        <w:t>NAÇÕES UNIDAS BRASIL. Objetivo de Desenvolvimento Sustentável 12: Consumo e produção responsáveis. [S. l.], [s.d.]c. Disponível em: https://brasil.un.org/pt-br/sdgs/12. Acesso em: 21 out. 2026.</w:t>
      </w:r>
    </w:p>
    <w:p w14:paraId="2C371A4D" w14:textId="77777777" w:rsidR="00DB072F" w:rsidRDefault="0053141D">
      <w:pPr>
        <w:pStyle w:val="Reviso2Reference"/>
      </w:pPr>
      <w:r>
        <w:t>RABINER, Lawrence R. A tutorial on hidden Markov models and selected applications in speech recognition. Proceedings of the IEEE, v. 77, n. 2, p. 257–286, 1989. DOI: https://doi.org/10.1109/5.18626. Disponível em: https://web.ece.ucsb.edu/Faculty/Rabiner/ece259/Reprints/tutorial%20on%20hmm%20and%20applications.pdf. Acesso em: 19 out. 2026.</w:t>
      </w:r>
    </w:p>
    <w:p w14:paraId="58F8C4F4" w14:textId="77777777" w:rsidR="00DB072F" w:rsidRDefault="0053141D">
      <w:pPr>
        <w:pStyle w:val="Reviso2Reference"/>
      </w:pPr>
      <w:r>
        <w:t>TAYLOR, James W. Forecasting value at risk and expected shortfall using a semiparametric approach based on the asymmetric Laplace distribution. Journal of Business &amp; Economic Statistics, v. 37, n. 1, p. 121–133, 2019. DOI: https://doi.org/10.1080/07350015.2017.1281815. Disponível em: https://users.ox.ac.uk/~mast0315/. Acesso em: 19 out. 2026.</w:t>
      </w:r>
    </w:p>
    <w:p w14:paraId="5AA89B55" w14:textId="77777777" w:rsidR="00DB072F" w:rsidRDefault="0053141D">
      <w:pPr>
        <w:pStyle w:val="Reviso2Reference"/>
      </w:pPr>
      <w:r>
        <w:t>UBILAVA, David. El Niño, La Niña, and world coffee price dynamics. Agricultural Economics, v. 43, n. 1, p. 17–26, 2012. DOI: https://doi.org/10.1111/j.1574-0862.2011.00562.x. Disponível em: https://onlinelibrary.wiley.com/doi/10.1111/j.1574-0862.2011.00562.x. Acesso em: 19 out. 2026.</w:t>
      </w:r>
    </w:p>
    <w:p w14:paraId="115BEBCA" w14:textId="77777777" w:rsidR="00DB072F" w:rsidRDefault="0053141D">
      <w:pPr>
        <w:pStyle w:val="Reviso2Chapter"/>
      </w:pPr>
      <w:bookmarkStart w:id="45" w:name="_Toc243470624"/>
      <w:r>
        <w:lastRenderedPageBreak/>
        <w:t>APÊNDICE A — SÍNTESE DE CAMPANI E DURÃES (2018)</w:t>
      </w:r>
      <w:bookmarkEnd w:id="45"/>
    </w:p>
    <w:tbl>
      <w:tblPr>
        <w:tblW w:w="907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200"/>
        <w:gridCol w:w="6872"/>
      </w:tblGrid>
      <w:tr w:rsidR="00DB072F" w14:paraId="7A3DD89D" w14:textId="77777777">
        <w:trPr>
          <w:cantSplit/>
          <w:tblHeader/>
        </w:trPr>
        <w:tc>
          <w:tcPr>
            <w:tcW w:w="2200" w:type="dxa"/>
            <w:shd w:val="clear" w:color="auto" w:fill="E7E6E6"/>
            <w:vAlign w:val="center"/>
          </w:tcPr>
          <w:p w14:paraId="0E716B0B" w14:textId="77777777" w:rsidR="00DB072F" w:rsidRDefault="0053141D">
            <w:pPr>
              <w:pStyle w:val="Reviso2Table"/>
            </w:pPr>
            <w:r>
              <w:rPr>
                <w:b/>
              </w:rPr>
              <w:t>Campo</w:t>
            </w:r>
          </w:p>
        </w:tc>
        <w:tc>
          <w:tcPr>
            <w:tcW w:w="6872" w:type="dxa"/>
            <w:shd w:val="clear" w:color="auto" w:fill="E7E6E6"/>
            <w:vAlign w:val="center"/>
          </w:tcPr>
          <w:p w14:paraId="3024437D" w14:textId="77777777" w:rsidR="00DB072F" w:rsidRDefault="0053141D">
            <w:pPr>
              <w:pStyle w:val="Reviso2Table"/>
            </w:pPr>
            <w:r>
              <w:rPr>
                <w:b/>
              </w:rPr>
              <w:t>Síntese e delimitação da consulta</w:t>
            </w:r>
          </w:p>
        </w:tc>
      </w:tr>
      <w:tr w:rsidR="00DB072F" w14:paraId="729AC3B9" w14:textId="77777777">
        <w:trPr>
          <w:cantSplit/>
        </w:trPr>
        <w:tc>
          <w:tcPr>
            <w:tcW w:w="2200" w:type="dxa"/>
            <w:vAlign w:val="center"/>
          </w:tcPr>
          <w:p w14:paraId="31AC06CE" w14:textId="77777777" w:rsidR="00DB072F" w:rsidRDefault="0053141D">
            <w:pPr>
              <w:pStyle w:val="Reviso2Table"/>
            </w:pPr>
            <w:r>
              <w:t>Referência</w:t>
            </w:r>
          </w:p>
        </w:tc>
        <w:tc>
          <w:tcPr>
            <w:tcW w:w="6872" w:type="dxa"/>
            <w:vAlign w:val="center"/>
          </w:tcPr>
          <w:p w14:paraId="2F8DEBC5" w14:textId="77777777" w:rsidR="00DB072F" w:rsidRDefault="0053141D">
            <w:pPr>
              <w:pStyle w:val="Reviso2Table"/>
            </w:pPr>
            <w:r>
              <w:t>CAMPANI, Carlos Heitor; DURÃES, Assis Gustavo da Silva. Forecasting USD-BRL currency rate volatility using realized and implied volatilities data. Estudos Econômicos, v. 48, n. 4, p. 687–719, 2018.</w:t>
            </w:r>
          </w:p>
        </w:tc>
      </w:tr>
      <w:tr w:rsidR="00DB072F" w14:paraId="31D951E6" w14:textId="77777777">
        <w:trPr>
          <w:cantSplit/>
        </w:trPr>
        <w:tc>
          <w:tcPr>
            <w:tcW w:w="2200" w:type="dxa"/>
            <w:shd w:val="clear" w:color="auto" w:fill="F7F7F7"/>
            <w:vAlign w:val="center"/>
          </w:tcPr>
          <w:p w14:paraId="36538446" w14:textId="77777777" w:rsidR="00DB072F" w:rsidRDefault="0053141D">
            <w:pPr>
              <w:pStyle w:val="Reviso2Table"/>
            </w:pPr>
            <w:r>
              <w:t>Fonte consultada</w:t>
            </w:r>
          </w:p>
        </w:tc>
        <w:tc>
          <w:tcPr>
            <w:tcW w:w="6872" w:type="dxa"/>
            <w:shd w:val="clear" w:color="auto" w:fill="F7F7F7"/>
            <w:vAlign w:val="center"/>
          </w:tcPr>
          <w:p w14:paraId="3D0632D8" w14:textId="77777777" w:rsidR="00DB072F" w:rsidRDefault="0053141D">
            <w:pPr>
              <w:pStyle w:val="Reviso2Table"/>
            </w:pPr>
            <w:r>
              <w:t>https://revistas.usp.br/ee/article/view/131900</w:t>
            </w:r>
          </w:p>
        </w:tc>
      </w:tr>
      <w:tr w:rsidR="00DB072F" w14:paraId="0D0E42E4" w14:textId="77777777">
        <w:trPr>
          <w:cantSplit/>
        </w:trPr>
        <w:tc>
          <w:tcPr>
            <w:tcW w:w="2200" w:type="dxa"/>
            <w:vAlign w:val="center"/>
          </w:tcPr>
          <w:p w14:paraId="7927BEB1" w14:textId="77777777" w:rsidR="00DB072F" w:rsidRDefault="0053141D">
            <w:pPr>
              <w:pStyle w:val="Reviso2Table"/>
            </w:pPr>
            <w:r>
              <w:t>Alcance da leitura</w:t>
            </w:r>
          </w:p>
        </w:tc>
        <w:tc>
          <w:tcPr>
            <w:tcW w:w="6872" w:type="dxa"/>
            <w:vAlign w:val="center"/>
          </w:tcPr>
          <w:p w14:paraId="04CB79DA" w14:textId="77777777" w:rsidR="00DB072F" w:rsidRDefault="0053141D">
            <w:pPr>
              <w:pStyle w:val="Reviso2Table"/>
            </w:pPr>
            <w:r>
              <w:t>Resumo e metadados do periódico; variância realizada de alta frequência e FXVol identificados. Não é evidência direta para VIX, OHLC diário ou carteira agro.</w:t>
            </w:r>
          </w:p>
        </w:tc>
      </w:tr>
      <w:tr w:rsidR="00DB072F" w14:paraId="6CD1109D" w14:textId="77777777">
        <w:trPr>
          <w:cantSplit/>
        </w:trPr>
        <w:tc>
          <w:tcPr>
            <w:tcW w:w="2200" w:type="dxa"/>
            <w:shd w:val="clear" w:color="auto" w:fill="F7F7F7"/>
            <w:vAlign w:val="center"/>
          </w:tcPr>
          <w:p w14:paraId="7728DC1F" w14:textId="77777777" w:rsidR="00DB072F" w:rsidRDefault="0053141D">
            <w:pPr>
              <w:pStyle w:val="Reviso2Table"/>
            </w:pPr>
            <w:r>
              <w:t>Questão do estudo</w:t>
            </w:r>
          </w:p>
        </w:tc>
        <w:tc>
          <w:tcPr>
            <w:tcW w:w="6872" w:type="dxa"/>
            <w:shd w:val="clear" w:color="auto" w:fill="F7F7F7"/>
            <w:vAlign w:val="center"/>
          </w:tcPr>
          <w:p w14:paraId="75919369" w14:textId="77777777" w:rsidR="00DB072F" w:rsidRDefault="0053141D">
            <w:pPr>
              <w:pStyle w:val="Reviso2Table"/>
            </w:pPr>
            <w:r>
              <w:t>Como informações de volatilidade realizada e implícita podem complementar a previsão da volatilidade cambial?</w:t>
            </w:r>
          </w:p>
        </w:tc>
      </w:tr>
      <w:tr w:rsidR="00DB072F" w14:paraId="5DFE6B68" w14:textId="77777777">
        <w:trPr>
          <w:cantSplit/>
        </w:trPr>
        <w:tc>
          <w:tcPr>
            <w:tcW w:w="2200" w:type="dxa"/>
            <w:vAlign w:val="center"/>
          </w:tcPr>
          <w:p w14:paraId="2B773F69" w14:textId="77777777" w:rsidR="00DB072F" w:rsidRDefault="0053141D">
            <w:pPr>
              <w:pStyle w:val="Reviso2Table"/>
            </w:pPr>
            <w:r>
              <w:t>Contribuição identificada</w:t>
            </w:r>
          </w:p>
        </w:tc>
        <w:tc>
          <w:tcPr>
            <w:tcW w:w="6872" w:type="dxa"/>
            <w:vAlign w:val="center"/>
          </w:tcPr>
          <w:p w14:paraId="18C87A09" w14:textId="77777777" w:rsidR="00DB072F" w:rsidRDefault="0053141D">
            <w:pPr>
              <w:pStyle w:val="Reviso2Table"/>
            </w:pPr>
            <w:r>
              <w:t>O artigo examina a volatilidade do USD/BRL com especificações GARCH ampliadas por variância realizada de alta frequência e pelo índice implícito FXVol. O resumo relata ganhos de previsão no contexto analisado, o que sustenta investigar fontes complementares de informação.</w:t>
            </w:r>
          </w:p>
        </w:tc>
      </w:tr>
      <w:tr w:rsidR="00DB072F" w14:paraId="1EF83F9A" w14:textId="77777777">
        <w:trPr>
          <w:cantSplit/>
        </w:trPr>
        <w:tc>
          <w:tcPr>
            <w:tcW w:w="2200" w:type="dxa"/>
            <w:shd w:val="clear" w:color="auto" w:fill="F7F7F7"/>
            <w:vAlign w:val="center"/>
          </w:tcPr>
          <w:p w14:paraId="046B6135" w14:textId="77777777" w:rsidR="00DB072F" w:rsidRDefault="0053141D">
            <w:pPr>
              <w:pStyle w:val="Reviso2Table"/>
            </w:pPr>
            <w:r>
              <w:t>Limites de interpretação</w:t>
            </w:r>
          </w:p>
        </w:tc>
        <w:tc>
          <w:tcPr>
            <w:tcW w:w="6872" w:type="dxa"/>
            <w:shd w:val="clear" w:color="auto" w:fill="F7F7F7"/>
            <w:vAlign w:val="center"/>
          </w:tcPr>
          <w:p w14:paraId="267CDB5D" w14:textId="77777777" w:rsidR="00DB072F" w:rsidRDefault="0053141D">
            <w:pPr>
              <w:pStyle w:val="Reviso2Table"/>
            </w:pPr>
            <w:r>
              <w:t>A evidência se refere ao câmbio e às medidas efetivamente empregadas. Não demonstra que VIX, estimadores OHLC diários ou uma rede para uma carteira agro terão o mesmo desempenho.</w:t>
            </w:r>
          </w:p>
        </w:tc>
      </w:tr>
      <w:tr w:rsidR="00DB072F" w14:paraId="34935301" w14:textId="77777777">
        <w:trPr>
          <w:cantSplit/>
        </w:trPr>
        <w:tc>
          <w:tcPr>
            <w:tcW w:w="2200" w:type="dxa"/>
            <w:vAlign w:val="center"/>
          </w:tcPr>
          <w:p w14:paraId="34ACAEFE" w14:textId="77777777" w:rsidR="00DB072F" w:rsidRDefault="0053141D">
            <w:pPr>
              <w:pStyle w:val="Reviso2Table"/>
            </w:pPr>
            <w:r>
              <w:t>Relação com o TCC</w:t>
            </w:r>
          </w:p>
        </w:tc>
        <w:tc>
          <w:tcPr>
            <w:tcW w:w="6872" w:type="dxa"/>
            <w:vAlign w:val="center"/>
          </w:tcPr>
          <w:p w14:paraId="5FC21B04" w14:textId="77777777" w:rsidR="00DB072F" w:rsidRDefault="0053141D">
            <w:pPr>
              <w:pStyle w:val="Reviso2Table"/>
            </w:pPr>
            <w:r>
              <w:t>Apoia a seleção criteriosa de variáveis auxiliares e a distinção entre volatilidade implícita, variância realizada e aproximações com preços diários.</w:t>
            </w:r>
          </w:p>
        </w:tc>
      </w:tr>
    </w:tbl>
    <w:p w14:paraId="12E40C15" w14:textId="77777777" w:rsidR="00DB072F" w:rsidRDefault="0053141D">
      <w:pPr>
        <w:pStyle w:val="Reviso2Source"/>
      </w:pPr>
      <w:r>
        <w:t>Fonte: síntese do autor, limitada ao material descrito no campo Alcance da leitura.</w:t>
      </w:r>
    </w:p>
    <w:p w14:paraId="51B03661" w14:textId="77777777" w:rsidR="00DB072F" w:rsidRDefault="0053141D">
      <w:pPr>
        <w:pStyle w:val="Reviso2Chapter"/>
      </w:pPr>
      <w:bookmarkStart w:id="46" w:name="_Toc243470625"/>
      <w:r>
        <w:lastRenderedPageBreak/>
        <w:t>APÊNDICE B — SÍNTESE DE CONT (2001)</w:t>
      </w:r>
      <w:bookmarkEnd w:id="46"/>
    </w:p>
    <w:tbl>
      <w:tblPr>
        <w:tblW w:w="907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200"/>
        <w:gridCol w:w="6872"/>
      </w:tblGrid>
      <w:tr w:rsidR="00DB072F" w14:paraId="596DB0B9" w14:textId="77777777">
        <w:trPr>
          <w:cantSplit/>
          <w:tblHeader/>
        </w:trPr>
        <w:tc>
          <w:tcPr>
            <w:tcW w:w="2200" w:type="dxa"/>
            <w:shd w:val="clear" w:color="auto" w:fill="E7E6E6"/>
            <w:vAlign w:val="center"/>
          </w:tcPr>
          <w:p w14:paraId="7022FC47" w14:textId="77777777" w:rsidR="00DB072F" w:rsidRDefault="0053141D">
            <w:pPr>
              <w:pStyle w:val="Reviso2Table"/>
            </w:pPr>
            <w:r>
              <w:rPr>
                <w:b/>
              </w:rPr>
              <w:t>Campo</w:t>
            </w:r>
          </w:p>
        </w:tc>
        <w:tc>
          <w:tcPr>
            <w:tcW w:w="6872" w:type="dxa"/>
            <w:shd w:val="clear" w:color="auto" w:fill="E7E6E6"/>
            <w:vAlign w:val="center"/>
          </w:tcPr>
          <w:p w14:paraId="09353638" w14:textId="77777777" w:rsidR="00DB072F" w:rsidRDefault="0053141D">
            <w:pPr>
              <w:pStyle w:val="Reviso2Table"/>
            </w:pPr>
            <w:r>
              <w:rPr>
                <w:b/>
              </w:rPr>
              <w:t>Síntese e delimitação da consulta</w:t>
            </w:r>
          </w:p>
        </w:tc>
      </w:tr>
      <w:tr w:rsidR="00DB072F" w14:paraId="1F2E8AEA" w14:textId="77777777">
        <w:trPr>
          <w:cantSplit/>
        </w:trPr>
        <w:tc>
          <w:tcPr>
            <w:tcW w:w="2200" w:type="dxa"/>
            <w:vAlign w:val="center"/>
          </w:tcPr>
          <w:p w14:paraId="602193C1" w14:textId="77777777" w:rsidR="00DB072F" w:rsidRDefault="0053141D">
            <w:pPr>
              <w:pStyle w:val="Reviso2Table"/>
            </w:pPr>
            <w:r>
              <w:t>Referência</w:t>
            </w:r>
          </w:p>
        </w:tc>
        <w:tc>
          <w:tcPr>
            <w:tcW w:w="6872" w:type="dxa"/>
            <w:vAlign w:val="center"/>
          </w:tcPr>
          <w:p w14:paraId="032E3832" w14:textId="77777777" w:rsidR="00DB072F" w:rsidRDefault="0053141D">
            <w:pPr>
              <w:pStyle w:val="Reviso2Table"/>
            </w:pPr>
            <w:r>
              <w:t>CONT, Rama. Empirical properties of asset returns: stylized facts and statistical issues. Quantitative Finance, v. 1, n. 2, p. 223–236, 2001.</w:t>
            </w:r>
          </w:p>
        </w:tc>
      </w:tr>
      <w:tr w:rsidR="00DB072F" w14:paraId="2B4DD78D" w14:textId="77777777">
        <w:trPr>
          <w:cantSplit/>
        </w:trPr>
        <w:tc>
          <w:tcPr>
            <w:tcW w:w="2200" w:type="dxa"/>
            <w:shd w:val="clear" w:color="auto" w:fill="F7F7F7"/>
            <w:vAlign w:val="center"/>
          </w:tcPr>
          <w:p w14:paraId="5794080D" w14:textId="77777777" w:rsidR="00DB072F" w:rsidRDefault="0053141D">
            <w:pPr>
              <w:pStyle w:val="Reviso2Table"/>
            </w:pPr>
            <w:r>
              <w:t>Fonte consultada</w:t>
            </w:r>
          </w:p>
        </w:tc>
        <w:tc>
          <w:tcPr>
            <w:tcW w:w="6872" w:type="dxa"/>
            <w:shd w:val="clear" w:color="auto" w:fill="F7F7F7"/>
            <w:vAlign w:val="center"/>
          </w:tcPr>
          <w:p w14:paraId="6505D1C8" w14:textId="77777777" w:rsidR="00DB072F" w:rsidRDefault="0053141D">
            <w:pPr>
              <w:pStyle w:val="Reviso2Table"/>
            </w:pPr>
            <w:r>
              <w:t>https://doi.org/10.1080/713665670</w:t>
            </w:r>
          </w:p>
        </w:tc>
      </w:tr>
      <w:tr w:rsidR="00DB072F" w14:paraId="58AAC22B" w14:textId="77777777">
        <w:trPr>
          <w:cantSplit/>
        </w:trPr>
        <w:tc>
          <w:tcPr>
            <w:tcW w:w="2200" w:type="dxa"/>
            <w:vAlign w:val="center"/>
          </w:tcPr>
          <w:p w14:paraId="6452F34B" w14:textId="77777777" w:rsidR="00DB072F" w:rsidRDefault="0053141D">
            <w:pPr>
              <w:pStyle w:val="Reviso2Table"/>
            </w:pPr>
            <w:r>
              <w:t>Alcance da leitura</w:t>
            </w:r>
          </w:p>
        </w:tc>
        <w:tc>
          <w:tcPr>
            <w:tcW w:w="6872" w:type="dxa"/>
            <w:vAlign w:val="center"/>
          </w:tcPr>
          <w:p w14:paraId="5D4C717D" w14:textId="77777777" w:rsidR="00DB072F" w:rsidRDefault="0053141D">
            <w:pPr>
              <w:pStyle w:val="Reviso2Table"/>
            </w:pPr>
            <w:r>
              <w:t>Resumo do editor e trechos da cópia acadêmica; fatos estilizados gerais, não testes já executados na carteira.</w:t>
            </w:r>
          </w:p>
        </w:tc>
      </w:tr>
      <w:tr w:rsidR="00DB072F" w14:paraId="1801DD3B" w14:textId="77777777">
        <w:trPr>
          <w:cantSplit/>
        </w:trPr>
        <w:tc>
          <w:tcPr>
            <w:tcW w:w="2200" w:type="dxa"/>
            <w:shd w:val="clear" w:color="auto" w:fill="F7F7F7"/>
            <w:vAlign w:val="center"/>
          </w:tcPr>
          <w:p w14:paraId="29E7CBD5" w14:textId="77777777" w:rsidR="00DB072F" w:rsidRDefault="0053141D">
            <w:pPr>
              <w:pStyle w:val="Reviso2Table"/>
            </w:pPr>
            <w:r>
              <w:t>Questão do estudo</w:t>
            </w:r>
          </w:p>
        </w:tc>
        <w:tc>
          <w:tcPr>
            <w:tcW w:w="6872" w:type="dxa"/>
            <w:shd w:val="clear" w:color="auto" w:fill="F7F7F7"/>
            <w:vAlign w:val="center"/>
          </w:tcPr>
          <w:p w14:paraId="3C83668C" w14:textId="77777777" w:rsidR="00DB072F" w:rsidRDefault="0053141D">
            <w:pPr>
              <w:pStyle w:val="Reviso2Table"/>
            </w:pPr>
            <w:r>
              <w:t>Quais propriedades empíricas dos retornos precisam ser consideradas na construção de um modelo financeiro?</w:t>
            </w:r>
          </w:p>
        </w:tc>
      </w:tr>
      <w:tr w:rsidR="00DB072F" w14:paraId="1418A24C" w14:textId="77777777">
        <w:trPr>
          <w:cantSplit/>
        </w:trPr>
        <w:tc>
          <w:tcPr>
            <w:tcW w:w="2200" w:type="dxa"/>
            <w:vAlign w:val="center"/>
          </w:tcPr>
          <w:p w14:paraId="1A90E825" w14:textId="77777777" w:rsidR="00DB072F" w:rsidRDefault="0053141D">
            <w:pPr>
              <w:pStyle w:val="Reviso2Table"/>
            </w:pPr>
            <w:r>
              <w:t>Contribuição identificada</w:t>
            </w:r>
          </w:p>
        </w:tc>
        <w:tc>
          <w:tcPr>
            <w:tcW w:w="6872" w:type="dxa"/>
            <w:vAlign w:val="center"/>
          </w:tcPr>
          <w:p w14:paraId="44268066" w14:textId="77777777" w:rsidR="00DB072F" w:rsidRDefault="0053141D">
            <w:pPr>
              <w:pStyle w:val="Reviso2Table"/>
            </w:pPr>
            <w:r>
              <w:t>A síntese reúne fatos estilizados como caudas pesadas e agrupamento de volatilidade. Mostra por que a dependência dos retornos não pode ser resumida à autocorrelação linear ou a uma distribuição normal de variância constante.</w:t>
            </w:r>
          </w:p>
        </w:tc>
      </w:tr>
      <w:tr w:rsidR="00DB072F" w14:paraId="5E47D073" w14:textId="77777777">
        <w:trPr>
          <w:cantSplit/>
        </w:trPr>
        <w:tc>
          <w:tcPr>
            <w:tcW w:w="2200" w:type="dxa"/>
            <w:shd w:val="clear" w:color="auto" w:fill="F7F7F7"/>
            <w:vAlign w:val="center"/>
          </w:tcPr>
          <w:p w14:paraId="1016FDE7" w14:textId="77777777" w:rsidR="00DB072F" w:rsidRDefault="0053141D">
            <w:pPr>
              <w:pStyle w:val="Reviso2Table"/>
            </w:pPr>
            <w:r>
              <w:t>Limites de interpretação</w:t>
            </w:r>
          </w:p>
        </w:tc>
        <w:tc>
          <w:tcPr>
            <w:tcW w:w="6872" w:type="dxa"/>
            <w:shd w:val="clear" w:color="auto" w:fill="F7F7F7"/>
            <w:vAlign w:val="center"/>
          </w:tcPr>
          <w:p w14:paraId="5D17348C" w14:textId="77777777" w:rsidR="00DB072F" w:rsidRDefault="0053141D">
            <w:pPr>
              <w:pStyle w:val="Reviso2Table"/>
            </w:pPr>
            <w:r>
              <w:t>Regularidades observadas em diferentes mercados não substituem o diagnóstico da base específica. A distribuição incondicional também não equivale à distribuição condicional utilizada na previsão.</w:t>
            </w:r>
          </w:p>
        </w:tc>
      </w:tr>
      <w:tr w:rsidR="00DB072F" w14:paraId="6AE7FF5F" w14:textId="77777777">
        <w:trPr>
          <w:cantSplit/>
        </w:trPr>
        <w:tc>
          <w:tcPr>
            <w:tcW w:w="2200" w:type="dxa"/>
            <w:vAlign w:val="center"/>
          </w:tcPr>
          <w:p w14:paraId="0414B3B5" w14:textId="77777777" w:rsidR="00DB072F" w:rsidRDefault="0053141D">
            <w:pPr>
              <w:pStyle w:val="Reviso2Table"/>
            </w:pPr>
            <w:r>
              <w:t>Relação com o TCC</w:t>
            </w:r>
          </w:p>
        </w:tc>
        <w:tc>
          <w:tcPr>
            <w:tcW w:w="6872" w:type="dxa"/>
            <w:vAlign w:val="center"/>
          </w:tcPr>
          <w:p w14:paraId="293ED7C2" w14:textId="77777777" w:rsidR="00DB072F" w:rsidRDefault="0053141D">
            <w:pPr>
              <w:pStyle w:val="Reviso2Table"/>
            </w:pPr>
            <w:r>
              <w:t>Fundamenta o exame de volatilidade e caudas, sem afirmar que os testes do TCC já demonstraram essas propriedades em todos os seus componentes.</w:t>
            </w:r>
          </w:p>
        </w:tc>
      </w:tr>
    </w:tbl>
    <w:p w14:paraId="613CCDCE" w14:textId="77777777" w:rsidR="00DB072F" w:rsidRDefault="0053141D">
      <w:pPr>
        <w:pStyle w:val="Reviso2Source"/>
      </w:pPr>
      <w:r>
        <w:t>Fonte: síntese do autor, limitada ao material descrito no campo Alcance da leitura.</w:t>
      </w:r>
    </w:p>
    <w:p w14:paraId="74B0400F" w14:textId="77777777" w:rsidR="00DB072F" w:rsidRDefault="0053141D">
      <w:pPr>
        <w:pStyle w:val="Reviso2Chapter"/>
      </w:pPr>
      <w:bookmarkStart w:id="47" w:name="_Toc243470626"/>
      <w:r>
        <w:lastRenderedPageBreak/>
        <w:t>APÊNDICE C — SÍNTESE DE DE MEL (2026)</w:t>
      </w:r>
      <w:bookmarkEnd w:id="47"/>
    </w:p>
    <w:tbl>
      <w:tblPr>
        <w:tblW w:w="907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200"/>
        <w:gridCol w:w="6872"/>
      </w:tblGrid>
      <w:tr w:rsidR="00DB072F" w14:paraId="4B4642A7" w14:textId="77777777">
        <w:trPr>
          <w:cantSplit/>
          <w:tblHeader/>
        </w:trPr>
        <w:tc>
          <w:tcPr>
            <w:tcW w:w="2200" w:type="dxa"/>
            <w:shd w:val="clear" w:color="auto" w:fill="E7E6E6"/>
            <w:vAlign w:val="center"/>
          </w:tcPr>
          <w:p w14:paraId="289672B1" w14:textId="77777777" w:rsidR="00DB072F" w:rsidRDefault="0053141D">
            <w:pPr>
              <w:pStyle w:val="Reviso2Table"/>
            </w:pPr>
            <w:r>
              <w:rPr>
                <w:b/>
              </w:rPr>
              <w:t>Campo</w:t>
            </w:r>
          </w:p>
        </w:tc>
        <w:tc>
          <w:tcPr>
            <w:tcW w:w="6872" w:type="dxa"/>
            <w:shd w:val="clear" w:color="auto" w:fill="E7E6E6"/>
            <w:vAlign w:val="center"/>
          </w:tcPr>
          <w:p w14:paraId="2EBAB1DD" w14:textId="77777777" w:rsidR="00DB072F" w:rsidRDefault="0053141D">
            <w:pPr>
              <w:pStyle w:val="Reviso2Table"/>
            </w:pPr>
            <w:r>
              <w:rPr>
                <w:b/>
              </w:rPr>
              <w:t>Síntese e delimitação da consulta</w:t>
            </w:r>
          </w:p>
        </w:tc>
      </w:tr>
      <w:tr w:rsidR="00DB072F" w14:paraId="41173E89" w14:textId="77777777">
        <w:trPr>
          <w:cantSplit/>
        </w:trPr>
        <w:tc>
          <w:tcPr>
            <w:tcW w:w="2200" w:type="dxa"/>
            <w:vAlign w:val="center"/>
          </w:tcPr>
          <w:p w14:paraId="6177D290" w14:textId="77777777" w:rsidR="00DB072F" w:rsidRDefault="0053141D">
            <w:pPr>
              <w:pStyle w:val="Reviso2Table"/>
            </w:pPr>
            <w:r>
              <w:t>Referência</w:t>
            </w:r>
          </w:p>
        </w:tc>
        <w:tc>
          <w:tcPr>
            <w:tcW w:w="6872" w:type="dxa"/>
            <w:vAlign w:val="center"/>
          </w:tcPr>
          <w:p w14:paraId="4CD5CC9B" w14:textId="77777777" w:rsidR="00DB072F" w:rsidRDefault="0053141D">
            <w:pPr>
              <w:pStyle w:val="Reviso2Table"/>
            </w:pPr>
            <w:r>
              <w:t>DE MEL, W. A. R. Value at risk of stock market returns using a hidden Markov–LSTM hybrid model. Sri Lankan Journal of Applied Statistics, v. 27, n. 1, p. 118–131, 2026.</w:t>
            </w:r>
          </w:p>
        </w:tc>
      </w:tr>
      <w:tr w:rsidR="00DB072F" w14:paraId="29CD0346" w14:textId="77777777">
        <w:trPr>
          <w:cantSplit/>
        </w:trPr>
        <w:tc>
          <w:tcPr>
            <w:tcW w:w="2200" w:type="dxa"/>
            <w:shd w:val="clear" w:color="auto" w:fill="F7F7F7"/>
            <w:vAlign w:val="center"/>
          </w:tcPr>
          <w:p w14:paraId="33C6DAA6" w14:textId="77777777" w:rsidR="00DB072F" w:rsidRDefault="0053141D">
            <w:pPr>
              <w:pStyle w:val="Reviso2Table"/>
            </w:pPr>
            <w:r>
              <w:t>Fonte consultada</w:t>
            </w:r>
          </w:p>
        </w:tc>
        <w:tc>
          <w:tcPr>
            <w:tcW w:w="6872" w:type="dxa"/>
            <w:shd w:val="clear" w:color="auto" w:fill="F7F7F7"/>
            <w:vAlign w:val="center"/>
          </w:tcPr>
          <w:p w14:paraId="6EBED3B7" w14:textId="77777777" w:rsidR="00DB072F" w:rsidRDefault="0053141D">
            <w:pPr>
              <w:pStyle w:val="Reviso2Table"/>
            </w:pPr>
            <w:r>
              <w:t>https://reference-global.com/article/10.4038/sljas.v27i1.8231</w:t>
            </w:r>
          </w:p>
        </w:tc>
      </w:tr>
      <w:tr w:rsidR="00DB072F" w14:paraId="7983B99C" w14:textId="77777777">
        <w:trPr>
          <w:cantSplit/>
        </w:trPr>
        <w:tc>
          <w:tcPr>
            <w:tcW w:w="2200" w:type="dxa"/>
            <w:vAlign w:val="center"/>
          </w:tcPr>
          <w:p w14:paraId="39036E92" w14:textId="77777777" w:rsidR="00DB072F" w:rsidRDefault="0053141D">
            <w:pPr>
              <w:pStyle w:val="Reviso2Table"/>
            </w:pPr>
            <w:r>
              <w:t>Alcance da leitura</w:t>
            </w:r>
          </w:p>
        </w:tc>
        <w:tc>
          <w:tcPr>
            <w:tcW w:w="6872" w:type="dxa"/>
            <w:vAlign w:val="center"/>
          </w:tcPr>
          <w:p w14:paraId="53B59E38" w14:textId="77777777" w:rsidR="00DB072F" w:rsidRDefault="0053141D">
            <w:pPr>
              <w:pStyle w:val="Reviso2Table"/>
            </w:pPr>
            <w:r>
              <w:t>Resumo do editor, publicado em 31/03/2026; síntese restrita a MSFT 2016–2022, estrutura HMM/LSTM e Student-t. Não se declara auditoria do código/artigo completo.</w:t>
            </w:r>
          </w:p>
        </w:tc>
      </w:tr>
      <w:tr w:rsidR="00DB072F" w14:paraId="4402C282" w14:textId="77777777">
        <w:trPr>
          <w:cantSplit/>
        </w:trPr>
        <w:tc>
          <w:tcPr>
            <w:tcW w:w="2200" w:type="dxa"/>
            <w:shd w:val="clear" w:color="auto" w:fill="F7F7F7"/>
            <w:vAlign w:val="center"/>
          </w:tcPr>
          <w:p w14:paraId="4D748BC2" w14:textId="77777777" w:rsidR="00DB072F" w:rsidRDefault="0053141D">
            <w:pPr>
              <w:pStyle w:val="Reviso2Table"/>
            </w:pPr>
            <w:r>
              <w:t>Questão do estudo</w:t>
            </w:r>
          </w:p>
        </w:tc>
        <w:tc>
          <w:tcPr>
            <w:tcW w:w="6872" w:type="dxa"/>
            <w:shd w:val="clear" w:color="auto" w:fill="F7F7F7"/>
            <w:vAlign w:val="center"/>
          </w:tcPr>
          <w:p w14:paraId="0B227582" w14:textId="77777777" w:rsidR="00DB072F" w:rsidRDefault="0053141D">
            <w:pPr>
              <w:pStyle w:val="Reviso2Table"/>
            </w:pPr>
            <w:r>
              <w:t>Como uma estrutura HMM–LSTM pode ser utilizada em uma aplicação de VaR de retornos acionários?</w:t>
            </w:r>
          </w:p>
        </w:tc>
      </w:tr>
      <w:tr w:rsidR="00DB072F" w14:paraId="40ADED03" w14:textId="77777777">
        <w:trPr>
          <w:cantSplit/>
        </w:trPr>
        <w:tc>
          <w:tcPr>
            <w:tcW w:w="2200" w:type="dxa"/>
            <w:vAlign w:val="center"/>
          </w:tcPr>
          <w:p w14:paraId="38ECDD9A" w14:textId="77777777" w:rsidR="00DB072F" w:rsidRDefault="0053141D">
            <w:pPr>
              <w:pStyle w:val="Reviso2Table"/>
            </w:pPr>
            <w:r>
              <w:t>Contribuição identificada</w:t>
            </w:r>
          </w:p>
        </w:tc>
        <w:tc>
          <w:tcPr>
            <w:tcW w:w="6872" w:type="dxa"/>
            <w:vAlign w:val="center"/>
          </w:tcPr>
          <w:p w14:paraId="71FE37C1" w14:textId="77777777" w:rsidR="00DB072F" w:rsidRDefault="0053141D">
            <w:pPr>
              <w:pStyle w:val="Reviso2Table"/>
            </w:pPr>
            <w:r>
              <w:t>O resumo apresenta uma aplicação à ação Microsoft em 2016–2022, com treinamento em 2016–2019 e teste em 2020–2022. A rede estima uma medida de volatilidade e a etapa de risco utiliza resíduos padronizados e uma hipótese Student-t para a cauda, junto à informação de regime.</w:t>
            </w:r>
          </w:p>
        </w:tc>
      </w:tr>
      <w:tr w:rsidR="00DB072F" w14:paraId="52FB41A2" w14:textId="77777777">
        <w:trPr>
          <w:cantSplit/>
        </w:trPr>
        <w:tc>
          <w:tcPr>
            <w:tcW w:w="2200" w:type="dxa"/>
            <w:shd w:val="clear" w:color="auto" w:fill="F7F7F7"/>
            <w:vAlign w:val="center"/>
          </w:tcPr>
          <w:p w14:paraId="6B6A5657" w14:textId="77777777" w:rsidR="00DB072F" w:rsidRDefault="0053141D">
            <w:pPr>
              <w:pStyle w:val="Reviso2Table"/>
            </w:pPr>
            <w:r>
              <w:t>Limites de interpretação</w:t>
            </w:r>
          </w:p>
        </w:tc>
        <w:tc>
          <w:tcPr>
            <w:tcW w:w="6872" w:type="dxa"/>
            <w:shd w:val="clear" w:color="auto" w:fill="F7F7F7"/>
            <w:vAlign w:val="center"/>
          </w:tcPr>
          <w:p w14:paraId="697F4808" w14:textId="77777777" w:rsidR="00DB072F" w:rsidRDefault="0053141D">
            <w:pPr>
              <w:pStyle w:val="Reviso2Table"/>
            </w:pPr>
            <w:r>
              <w:t>A consulta não abrangeu o artigo integral nem a reprodução do código. A aplicação a uma ação e a não rejeição de cobertura não estabelecem superioridade geral, validação de ES ou equivalência à arquitetura deste TCC.</w:t>
            </w:r>
          </w:p>
        </w:tc>
      </w:tr>
      <w:tr w:rsidR="00DB072F" w14:paraId="5AFD5E35" w14:textId="77777777">
        <w:trPr>
          <w:cantSplit/>
        </w:trPr>
        <w:tc>
          <w:tcPr>
            <w:tcW w:w="2200" w:type="dxa"/>
            <w:vAlign w:val="center"/>
          </w:tcPr>
          <w:p w14:paraId="0C11BED1" w14:textId="77777777" w:rsidR="00DB072F" w:rsidRDefault="0053141D">
            <w:pPr>
              <w:pStyle w:val="Reviso2Table"/>
            </w:pPr>
            <w:r>
              <w:t>Relação com o TCC</w:t>
            </w:r>
          </w:p>
        </w:tc>
        <w:tc>
          <w:tcPr>
            <w:tcW w:w="6872" w:type="dxa"/>
            <w:vAlign w:val="center"/>
          </w:tcPr>
          <w:p w14:paraId="1FD21F09" w14:textId="77777777" w:rsidR="00DB072F" w:rsidRDefault="0053141D">
            <w:pPr>
              <w:pStyle w:val="Reviso2Table"/>
            </w:pPr>
            <w:r>
              <w:t>É um antecedente direto que limita alegações amplas de ineditismo e evidencia a necessidade de explicar a passagem do alvo da rede para a distribuição de perdas.</w:t>
            </w:r>
          </w:p>
        </w:tc>
      </w:tr>
    </w:tbl>
    <w:p w14:paraId="4513EB19" w14:textId="77777777" w:rsidR="00DB072F" w:rsidRDefault="0053141D">
      <w:pPr>
        <w:pStyle w:val="Reviso2Source"/>
      </w:pPr>
      <w:r>
        <w:t>Fonte: síntese do autor, limitada ao material descrito no campo Alcance da leitura.</w:t>
      </w:r>
    </w:p>
    <w:p w14:paraId="282F01BD" w14:textId="77777777" w:rsidR="00DB072F" w:rsidRDefault="0053141D">
      <w:pPr>
        <w:pStyle w:val="Reviso2Chapter"/>
      </w:pPr>
      <w:bookmarkStart w:id="48" w:name="_Toc243470627"/>
      <w:r>
        <w:lastRenderedPageBreak/>
        <w:t>APÊNDICE D — SÍNTESE DE ARIMOND ET AL. (2026)</w:t>
      </w:r>
      <w:bookmarkEnd w:id="48"/>
    </w:p>
    <w:tbl>
      <w:tblPr>
        <w:tblW w:w="907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200"/>
        <w:gridCol w:w="6872"/>
      </w:tblGrid>
      <w:tr w:rsidR="00DB072F" w14:paraId="68597DC5" w14:textId="77777777">
        <w:trPr>
          <w:cantSplit/>
          <w:tblHeader/>
        </w:trPr>
        <w:tc>
          <w:tcPr>
            <w:tcW w:w="2200" w:type="dxa"/>
            <w:shd w:val="clear" w:color="auto" w:fill="E7E6E6"/>
            <w:vAlign w:val="center"/>
          </w:tcPr>
          <w:p w14:paraId="2E627977" w14:textId="77777777" w:rsidR="00DB072F" w:rsidRDefault="0053141D">
            <w:pPr>
              <w:pStyle w:val="Reviso2Table"/>
            </w:pPr>
            <w:r>
              <w:rPr>
                <w:b/>
              </w:rPr>
              <w:t>Campo</w:t>
            </w:r>
          </w:p>
        </w:tc>
        <w:tc>
          <w:tcPr>
            <w:tcW w:w="6872" w:type="dxa"/>
            <w:shd w:val="clear" w:color="auto" w:fill="E7E6E6"/>
            <w:vAlign w:val="center"/>
          </w:tcPr>
          <w:p w14:paraId="12DAA0DA" w14:textId="77777777" w:rsidR="00DB072F" w:rsidRDefault="0053141D">
            <w:pPr>
              <w:pStyle w:val="Reviso2Table"/>
            </w:pPr>
            <w:r>
              <w:rPr>
                <w:b/>
              </w:rPr>
              <w:t>Síntese e delimitação da consulta</w:t>
            </w:r>
          </w:p>
        </w:tc>
      </w:tr>
      <w:tr w:rsidR="00DB072F" w14:paraId="1B135287" w14:textId="77777777">
        <w:trPr>
          <w:cantSplit/>
        </w:trPr>
        <w:tc>
          <w:tcPr>
            <w:tcW w:w="2200" w:type="dxa"/>
            <w:vAlign w:val="center"/>
          </w:tcPr>
          <w:p w14:paraId="4C3ADFB5" w14:textId="77777777" w:rsidR="00DB072F" w:rsidRDefault="0053141D">
            <w:pPr>
              <w:pStyle w:val="Reviso2Table"/>
            </w:pPr>
            <w:r>
              <w:t>Referência</w:t>
            </w:r>
          </w:p>
        </w:tc>
        <w:tc>
          <w:tcPr>
            <w:tcW w:w="6872" w:type="dxa"/>
            <w:vAlign w:val="center"/>
          </w:tcPr>
          <w:p w14:paraId="09A5073D" w14:textId="77777777" w:rsidR="00DB072F" w:rsidRDefault="0053141D">
            <w:pPr>
              <w:pStyle w:val="Reviso2Table"/>
            </w:pPr>
            <w:r>
              <w:t>ARIMOND, Alexander et al. Neural networks and value at risk in asset management. Review of Quantitative Finance and Accounting, v. 67, p. 277–316, 2026.</w:t>
            </w:r>
          </w:p>
        </w:tc>
      </w:tr>
      <w:tr w:rsidR="00DB072F" w14:paraId="2DDF2531" w14:textId="77777777">
        <w:trPr>
          <w:cantSplit/>
        </w:trPr>
        <w:tc>
          <w:tcPr>
            <w:tcW w:w="2200" w:type="dxa"/>
            <w:shd w:val="clear" w:color="auto" w:fill="F7F7F7"/>
            <w:vAlign w:val="center"/>
          </w:tcPr>
          <w:p w14:paraId="4F51D4B1" w14:textId="77777777" w:rsidR="00DB072F" w:rsidRDefault="0053141D">
            <w:pPr>
              <w:pStyle w:val="Reviso2Table"/>
            </w:pPr>
            <w:r>
              <w:t>Fonte consultada</w:t>
            </w:r>
          </w:p>
        </w:tc>
        <w:tc>
          <w:tcPr>
            <w:tcW w:w="6872" w:type="dxa"/>
            <w:shd w:val="clear" w:color="auto" w:fill="F7F7F7"/>
            <w:vAlign w:val="center"/>
          </w:tcPr>
          <w:p w14:paraId="1159675D" w14:textId="77777777" w:rsidR="00DB072F" w:rsidRDefault="0053141D">
            <w:pPr>
              <w:pStyle w:val="Reviso2Table"/>
            </w:pPr>
            <w:r>
              <w:t>https://link.springer.com/article/10.1007/s11156-025-01460-y</w:t>
            </w:r>
          </w:p>
        </w:tc>
      </w:tr>
      <w:tr w:rsidR="00DB072F" w14:paraId="551DB8F4" w14:textId="77777777">
        <w:trPr>
          <w:cantSplit/>
        </w:trPr>
        <w:tc>
          <w:tcPr>
            <w:tcW w:w="2200" w:type="dxa"/>
            <w:vAlign w:val="center"/>
          </w:tcPr>
          <w:p w14:paraId="64A28A70" w14:textId="77777777" w:rsidR="00DB072F" w:rsidRDefault="0053141D">
            <w:pPr>
              <w:pStyle w:val="Reviso2Table"/>
            </w:pPr>
            <w:r>
              <w:t>Alcance da leitura</w:t>
            </w:r>
          </w:p>
        </w:tc>
        <w:tc>
          <w:tcPr>
            <w:tcW w:w="6872" w:type="dxa"/>
            <w:vAlign w:val="center"/>
          </w:tcPr>
          <w:p w14:paraId="4AA5C906" w14:textId="77777777" w:rsidR="00DB072F" w:rsidRDefault="0053141D">
            <w:pPr>
              <w:pStyle w:val="Reviso2Table"/>
            </w:pPr>
            <w:r>
              <w:t>Resumo e notas públicas do editor; texto integral sob assinatura não acessado. Online em 24/10/2025; fascículo de julho/2026. Síntese limitada ao resumo.</w:t>
            </w:r>
          </w:p>
        </w:tc>
      </w:tr>
      <w:tr w:rsidR="00DB072F" w14:paraId="4DCE8C0D" w14:textId="77777777">
        <w:trPr>
          <w:cantSplit/>
        </w:trPr>
        <w:tc>
          <w:tcPr>
            <w:tcW w:w="2200" w:type="dxa"/>
            <w:shd w:val="clear" w:color="auto" w:fill="F7F7F7"/>
            <w:vAlign w:val="center"/>
          </w:tcPr>
          <w:p w14:paraId="704D574F" w14:textId="77777777" w:rsidR="00DB072F" w:rsidRDefault="0053141D">
            <w:pPr>
              <w:pStyle w:val="Reviso2Table"/>
            </w:pPr>
            <w:r>
              <w:t>Questão do estudo</w:t>
            </w:r>
          </w:p>
        </w:tc>
        <w:tc>
          <w:tcPr>
            <w:tcW w:w="6872" w:type="dxa"/>
            <w:shd w:val="clear" w:color="auto" w:fill="F7F7F7"/>
            <w:vAlign w:val="center"/>
          </w:tcPr>
          <w:p w14:paraId="621B5667" w14:textId="77777777" w:rsidR="00DB072F" w:rsidRDefault="0053141D">
            <w:pPr>
              <w:pStyle w:val="Reviso2Table"/>
            </w:pPr>
            <w:r>
              <w:t>Como redes neurais e informação de estados de mercado se relacionam à estimação de risco na gestão de ativos?</w:t>
            </w:r>
          </w:p>
        </w:tc>
      </w:tr>
      <w:tr w:rsidR="00DB072F" w14:paraId="1B5B7CDE" w14:textId="77777777">
        <w:trPr>
          <w:cantSplit/>
        </w:trPr>
        <w:tc>
          <w:tcPr>
            <w:tcW w:w="2200" w:type="dxa"/>
            <w:vAlign w:val="center"/>
          </w:tcPr>
          <w:p w14:paraId="07DFB860" w14:textId="77777777" w:rsidR="00DB072F" w:rsidRDefault="0053141D">
            <w:pPr>
              <w:pStyle w:val="Reviso2Table"/>
            </w:pPr>
            <w:r>
              <w:t>Contribuição identificada</w:t>
            </w:r>
          </w:p>
        </w:tc>
        <w:tc>
          <w:tcPr>
            <w:tcW w:w="6872" w:type="dxa"/>
            <w:vAlign w:val="center"/>
          </w:tcPr>
          <w:p w14:paraId="2CB0F2B3" w14:textId="77777777" w:rsidR="00DB072F" w:rsidRDefault="0053141D">
            <w:pPr>
              <w:pStyle w:val="Reviso2Table"/>
            </w:pPr>
            <w:r>
              <w:t>O resumo e as notas públicas discutem redes neurais e VaR em carteiras de índices de ações e títulos, incluindo informação de HMM e diferentes inicializações. Indicam que a utilidade das redes depende da especificação e da disponibilidade de séries suficientemente longas.</w:t>
            </w:r>
          </w:p>
        </w:tc>
      </w:tr>
      <w:tr w:rsidR="00DB072F" w14:paraId="355DE794" w14:textId="77777777">
        <w:trPr>
          <w:cantSplit/>
        </w:trPr>
        <w:tc>
          <w:tcPr>
            <w:tcW w:w="2200" w:type="dxa"/>
            <w:shd w:val="clear" w:color="auto" w:fill="F7F7F7"/>
            <w:vAlign w:val="center"/>
          </w:tcPr>
          <w:p w14:paraId="1FD22133" w14:textId="77777777" w:rsidR="00DB072F" w:rsidRDefault="0053141D">
            <w:pPr>
              <w:pStyle w:val="Reviso2Table"/>
            </w:pPr>
            <w:r>
              <w:t>Limites de interpretação</w:t>
            </w:r>
          </w:p>
        </w:tc>
        <w:tc>
          <w:tcPr>
            <w:tcW w:w="6872" w:type="dxa"/>
            <w:shd w:val="clear" w:color="auto" w:fill="F7F7F7"/>
            <w:vAlign w:val="center"/>
          </w:tcPr>
          <w:p w14:paraId="5B505F1E" w14:textId="77777777" w:rsidR="00DB072F" w:rsidRDefault="0053141D">
            <w:pPr>
              <w:pStyle w:val="Reviso2Table"/>
            </w:pPr>
            <w:r>
              <w:t>O texto integral está sob assinatura e não foi consultado. A síntese não atribui ao artigo detalhes de treinamento, resultados numéricos ou uma arquitetura idêntica à utilizada aqui. A publicação online em 2025 pertence ao fascículo de 2026.</w:t>
            </w:r>
          </w:p>
        </w:tc>
      </w:tr>
      <w:tr w:rsidR="00DB072F" w14:paraId="368EAE68" w14:textId="77777777">
        <w:trPr>
          <w:cantSplit/>
        </w:trPr>
        <w:tc>
          <w:tcPr>
            <w:tcW w:w="2200" w:type="dxa"/>
            <w:vAlign w:val="center"/>
          </w:tcPr>
          <w:p w14:paraId="6E89DEE5" w14:textId="77777777" w:rsidR="00DB072F" w:rsidRDefault="0053141D">
            <w:pPr>
              <w:pStyle w:val="Reviso2Table"/>
            </w:pPr>
            <w:r>
              <w:t>Relação com o TCC</w:t>
            </w:r>
          </w:p>
        </w:tc>
        <w:tc>
          <w:tcPr>
            <w:tcW w:w="6872" w:type="dxa"/>
            <w:vAlign w:val="center"/>
          </w:tcPr>
          <w:p w14:paraId="3A38F7FE" w14:textId="77777777" w:rsidR="00DB072F" w:rsidRDefault="0053141D">
            <w:pPr>
              <w:pStyle w:val="Reviso2Table"/>
            </w:pPr>
            <w:r>
              <w:t>Ajuda a posicionar a pesquisa na literatura recente e a discutir tamanho da amostra, sensibilidade à estimação e comparação com referências mais simples.</w:t>
            </w:r>
          </w:p>
        </w:tc>
      </w:tr>
    </w:tbl>
    <w:p w14:paraId="1AC58B2C" w14:textId="77777777" w:rsidR="00DB072F" w:rsidRDefault="0053141D">
      <w:pPr>
        <w:pStyle w:val="Reviso2Source"/>
      </w:pPr>
      <w:r>
        <w:t>Fonte: síntese do autor, limitada ao material descrito no campo Alcance da leitura.</w:t>
      </w:r>
    </w:p>
    <w:p w14:paraId="2778E416" w14:textId="77777777" w:rsidR="00DB072F" w:rsidRDefault="0053141D">
      <w:pPr>
        <w:pStyle w:val="Reviso2Chapter"/>
      </w:pPr>
      <w:bookmarkStart w:id="49" w:name="_Toc243470628"/>
      <w:r>
        <w:lastRenderedPageBreak/>
        <w:t>APÊNDICE E — SÍNTESE DE HAMILTON (1989)</w:t>
      </w:r>
      <w:bookmarkEnd w:id="49"/>
    </w:p>
    <w:tbl>
      <w:tblPr>
        <w:tblW w:w="907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200"/>
        <w:gridCol w:w="6872"/>
      </w:tblGrid>
      <w:tr w:rsidR="00DB072F" w14:paraId="48EA8540" w14:textId="77777777">
        <w:trPr>
          <w:cantSplit/>
          <w:tblHeader/>
        </w:trPr>
        <w:tc>
          <w:tcPr>
            <w:tcW w:w="2200" w:type="dxa"/>
            <w:shd w:val="clear" w:color="auto" w:fill="E7E6E6"/>
            <w:vAlign w:val="center"/>
          </w:tcPr>
          <w:p w14:paraId="63D2F64F" w14:textId="77777777" w:rsidR="00DB072F" w:rsidRDefault="0053141D">
            <w:pPr>
              <w:pStyle w:val="Reviso2Table"/>
            </w:pPr>
            <w:r>
              <w:rPr>
                <w:b/>
              </w:rPr>
              <w:t>Campo</w:t>
            </w:r>
          </w:p>
        </w:tc>
        <w:tc>
          <w:tcPr>
            <w:tcW w:w="6872" w:type="dxa"/>
            <w:shd w:val="clear" w:color="auto" w:fill="E7E6E6"/>
            <w:vAlign w:val="center"/>
          </w:tcPr>
          <w:p w14:paraId="2F401821" w14:textId="77777777" w:rsidR="00DB072F" w:rsidRDefault="0053141D">
            <w:pPr>
              <w:pStyle w:val="Reviso2Table"/>
            </w:pPr>
            <w:r>
              <w:rPr>
                <w:b/>
              </w:rPr>
              <w:t>Síntese e delimitação da consulta</w:t>
            </w:r>
          </w:p>
        </w:tc>
      </w:tr>
      <w:tr w:rsidR="00DB072F" w14:paraId="50256298" w14:textId="77777777">
        <w:trPr>
          <w:cantSplit/>
        </w:trPr>
        <w:tc>
          <w:tcPr>
            <w:tcW w:w="2200" w:type="dxa"/>
            <w:vAlign w:val="center"/>
          </w:tcPr>
          <w:p w14:paraId="6806CB3A" w14:textId="77777777" w:rsidR="00DB072F" w:rsidRDefault="0053141D">
            <w:pPr>
              <w:pStyle w:val="Reviso2Table"/>
            </w:pPr>
            <w:r>
              <w:t>Referência</w:t>
            </w:r>
          </w:p>
        </w:tc>
        <w:tc>
          <w:tcPr>
            <w:tcW w:w="6872" w:type="dxa"/>
            <w:vAlign w:val="center"/>
          </w:tcPr>
          <w:p w14:paraId="67AF6E3F" w14:textId="77777777" w:rsidR="00DB072F" w:rsidRDefault="0053141D">
            <w:pPr>
              <w:pStyle w:val="Reviso2Table"/>
            </w:pPr>
            <w:r>
              <w:t>HAMILTON, James D. A new approach to the economic analysis of nonstationary time series and the business cycle. Econometrica, v. 57, n. 2, p. 357–384, 1989.</w:t>
            </w:r>
          </w:p>
        </w:tc>
      </w:tr>
      <w:tr w:rsidR="00DB072F" w14:paraId="65846AE2" w14:textId="77777777">
        <w:trPr>
          <w:cantSplit/>
        </w:trPr>
        <w:tc>
          <w:tcPr>
            <w:tcW w:w="2200" w:type="dxa"/>
            <w:shd w:val="clear" w:color="auto" w:fill="F7F7F7"/>
            <w:vAlign w:val="center"/>
          </w:tcPr>
          <w:p w14:paraId="454436C9" w14:textId="77777777" w:rsidR="00DB072F" w:rsidRDefault="0053141D">
            <w:pPr>
              <w:pStyle w:val="Reviso2Table"/>
            </w:pPr>
            <w:r>
              <w:t>Fonte consultada</w:t>
            </w:r>
          </w:p>
        </w:tc>
        <w:tc>
          <w:tcPr>
            <w:tcW w:w="6872" w:type="dxa"/>
            <w:shd w:val="clear" w:color="auto" w:fill="F7F7F7"/>
            <w:vAlign w:val="center"/>
          </w:tcPr>
          <w:p w14:paraId="64F6A77E" w14:textId="77777777" w:rsidR="00DB072F" w:rsidRDefault="0053141D">
            <w:pPr>
              <w:pStyle w:val="Reviso2Table"/>
            </w:pPr>
            <w:r>
              <w:t>https://www.jstor.org/stable/1912559</w:t>
            </w:r>
          </w:p>
        </w:tc>
      </w:tr>
      <w:tr w:rsidR="00DB072F" w14:paraId="6D52C039" w14:textId="77777777">
        <w:trPr>
          <w:cantSplit/>
        </w:trPr>
        <w:tc>
          <w:tcPr>
            <w:tcW w:w="2200" w:type="dxa"/>
            <w:vAlign w:val="center"/>
          </w:tcPr>
          <w:p w14:paraId="24053F56" w14:textId="77777777" w:rsidR="00DB072F" w:rsidRDefault="0053141D">
            <w:pPr>
              <w:pStyle w:val="Reviso2Table"/>
            </w:pPr>
            <w:r>
              <w:t>Alcance da leitura</w:t>
            </w:r>
          </w:p>
        </w:tc>
        <w:tc>
          <w:tcPr>
            <w:tcW w:w="6872" w:type="dxa"/>
            <w:vAlign w:val="center"/>
          </w:tcPr>
          <w:p w14:paraId="785B9AE8" w14:textId="77777777" w:rsidR="00DB072F" w:rsidRDefault="0053141D">
            <w:pPr>
              <w:pStyle w:val="Reviso2Table"/>
            </w:pPr>
            <w:r>
              <w:t>Metadados e resumo registrado pelo autor/editor; contribuição fundadora, aplicação macroeconômica não confundida com evidência para carteira agro.</w:t>
            </w:r>
          </w:p>
        </w:tc>
      </w:tr>
      <w:tr w:rsidR="00DB072F" w14:paraId="6A99B024" w14:textId="77777777">
        <w:trPr>
          <w:cantSplit/>
        </w:trPr>
        <w:tc>
          <w:tcPr>
            <w:tcW w:w="2200" w:type="dxa"/>
            <w:shd w:val="clear" w:color="auto" w:fill="F7F7F7"/>
            <w:vAlign w:val="center"/>
          </w:tcPr>
          <w:p w14:paraId="1AA533FC" w14:textId="77777777" w:rsidR="00DB072F" w:rsidRDefault="0053141D">
            <w:pPr>
              <w:pStyle w:val="Reviso2Table"/>
            </w:pPr>
            <w:r>
              <w:t>Questão do estudo</w:t>
            </w:r>
          </w:p>
        </w:tc>
        <w:tc>
          <w:tcPr>
            <w:tcW w:w="6872" w:type="dxa"/>
            <w:shd w:val="clear" w:color="auto" w:fill="F7F7F7"/>
            <w:vAlign w:val="center"/>
          </w:tcPr>
          <w:p w14:paraId="4EC805F7" w14:textId="77777777" w:rsidR="00DB072F" w:rsidRDefault="0053141D">
            <w:pPr>
              <w:pStyle w:val="Reviso2Table"/>
            </w:pPr>
            <w:r>
              <w:t>Como representar mudanças persistentes na dinâmica de uma série por estados não observados?</w:t>
            </w:r>
          </w:p>
        </w:tc>
      </w:tr>
      <w:tr w:rsidR="00DB072F" w14:paraId="7B2848B5" w14:textId="77777777">
        <w:trPr>
          <w:cantSplit/>
        </w:trPr>
        <w:tc>
          <w:tcPr>
            <w:tcW w:w="2200" w:type="dxa"/>
            <w:vAlign w:val="center"/>
          </w:tcPr>
          <w:p w14:paraId="250745FF" w14:textId="77777777" w:rsidR="00DB072F" w:rsidRDefault="0053141D">
            <w:pPr>
              <w:pStyle w:val="Reviso2Table"/>
            </w:pPr>
            <w:r>
              <w:t>Contribuição identificada</w:t>
            </w:r>
          </w:p>
        </w:tc>
        <w:tc>
          <w:tcPr>
            <w:tcW w:w="6872" w:type="dxa"/>
            <w:vAlign w:val="center"/>
          </w:tcPr>
          <w:p w14:paraId="23151736" w14:textId="77777777" w:rsidR="00DB072F" w:rsidRDefault="0053141D">
            <w:pPr>
              <w:pStyle w:val="Reviso2Table"/>
            </w:pPr>
            <w:r>
              <w:t>A contribuição introduz uma abordagem de mudanças de regime para a análise de séries não estacionárias e do ciclo econômico. Estados latentes e probabilidades de transição permitem representar alterações de comportamento dentro de uma estrutura probabilística.</w:t>
            </w:r>
          </w:p>
        </w:tc>
      </w:tr>
      <w:tr w:rsidR="00DB072F" w14:paraId="153977C0" w14:textId="77777777">
        <w:trPr>
          <w:cantSplit/>
        </w:trPr>
        <w:tc>
          <w:tcPr>
            <w:tcW w:w="2200" w:type="dxa"/>
            <w:shd w:val="clear" w:color="auto" w:fill="F7F7F7"/>
            <w:vAlign w:val="center"/>
          </w:tcPr>
          <w:p w14:paraId="537A3CA4" w14:textId="77777777" w:rsidR="00DB072F" w:rsidRDefault="0053141D">
            <w:pPr>
              <w:pStyle w:val="Reviso2Table"/>
            </w:pPr>
            <w:r>
              <w:t>Limites de interpretação</w:t>
            </w:r>
          </w:p>
        </w:tc>
        <w:tc>
          <w:tcPr>
            <w:tcW w:w="6872" w:type="dxa"/>
            <w:shd w:val="clear" w:color="auto" w:fill="F7F7F7"/>
            <w:vAlign w:val="center"/>
          </w:tcPr>
          <w:p w14:paraId="13754735" w14:textId="77777777" w:rsidR="00DB072F" w:rsidRDefault="0053141D">
            <w:pPr>
              <w:pStyle w:val="Reviso2Table"/>
            </w:pPr>
            <w:r>
              <w:t>A aplicação fundadora é macroeconômica. Não valida, por si só, estados de crise de uma carteira agro, um HMM gaussiano específico ou o número ideal de regimes. A leitura desta ficha está limitada ao resumo e aos metadados conferidos.</w:t>
            </w:r>
          </w:p>
        </w:tc>
      </w:tr>
      <w:tr w:rsidR="00DB072F" w14:paraId="5B9D07F2" w14:textId="77777777">
        <w:trPr>
          <w:cantSplit/>
        </w:trPr>
        <w:tc>
          <w:tcPr>
            <w:tcW w:w="2200" w:type="dxa"/>
            <w:vAlign w:val="center"/>
          </w:tcPr>
          <w:p w14:paraId="58B3BCC4" w14:textId="77777777" w:rsidR="00DB072F" w:rsidRDefault="0053141D">
            <w:pPr>
              <w:pStyle w:val="Reviso2Table"/>
            </w:pPr>
            <w:r>
              <w:t>Relação com o TCC</w:t>
            </w:r>
          </w:p>
        </w:tc>
        <w:tc>
          <w:tcPr>
            <w:tcW w:w="6872" w:type="dxa"/>
            <w:vAlign w:val="center"/>
          </w:tcPr>
          <w:p w14:paraId="025D9801" w14:textId="77777777" w:rsidR="00DB072F" w:rsidRDefault="0053141D">
            <w:pPr>
              <w:pStyle w:val="Reviso2Table"/>
            </w:pPr>
            <w:r>
              <w:t>Oferece fundamento para os estados de mercado. A implementação preditiva precisa ainda distinguir filtragem com informação corrente de suavização com observações futuras.</w:t>
            </w:r>
          </w:p>
        </w:tc>
      </w:tr>
    </w:tbl>
    <w:p w14:paraId="3246C7DA" w14:textId="77777777" w:rsidR="00DB072F" w:rsidRDefault="0053141D">
      <w:pPr>
        <w:pStyle w:val="Reviso2Source"/>
      </w:pPr>
      <w:r>
        <w:t>Fonte: síntese do autor, limitada ao material descrito no campo Alcance da leitura.</w:t>
      </w:r>
    </w:p>
    <w:p w14:paraId="606DC71E" w14:textId="77777777" w:rsidR="00DB072F" w:rsidRDefault="0053141D">
      <w:pPr>
        <w:pStyle w:val="Reviso2Chapter"/>
      </w:pPr>
      <w:bookmarkStart w:id="50" w:name="_Toc243470629"/>
      <w:r>
        <w:lastRenderedPageBreak/>
        <w:t>APÊNDICE F — SÍNTESE DE HOCHREITER E SCHMIDHUBER (1997)</w:t>
      </w:r>
      <w:bookmarkEnd w:id="50"/>
    </w:p>
    <w:tbl>
      <w:tblPr>
        <w:tblW w:w="907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200"/>
        <w:gridCol w:w="6872"/>
      </w:tblGrid>
      <w:tr w:rsidR="00DB072F" w14:paraId="5DCB0BCC" w14:textId="77777777">
        <w:trPr>
          <w:cantSplit/>
          <w:tblHeader/>
        </w:trPr>
        <w:tc>
          <w:tcPr>
            <w:tcW w:w="2200" w:type="dxa"/>
            <w:shd w:val="clear" w:color="auto" w:fill="E7E6E6"/>
            <w:vAlign w:val="center"/>
          </w:tcPr>
          <w:p w14:paraId="6E7CAA54" w14:textId="77777777" w:rsidR="00DB072F" w:rsidRDefault="0053141D">
            <w:pPr>
              <w:pStyle w:val="Reviso2Table"/>
            </w:pPr>
            <w:r>
              <w:rPr>
                <w:b/>
              </w:rPr>
              <w:t>Campo</w:t>
            </w:r>
          </w:p>
        </w:tc>
        <w:tc>
          <w:tcPr>
            <w:tcW w:w="6872" w:type="dxa"/>
            <w:shd w:val="clear" w:color="auto" w:fill="E7E6E6"/>
            <w:vAlign w:val="center"/>
          </w:tcPr>
          <w:p w14:paraId="3F9F4FF4" w14:textId="77777777" w:rsidR="00DB072F" w:rsidRDefault="0053141D">
            <w:pPr>
              <w:pStyle w:val="Reviso2Table"/>
            </w:pPr>
            <w:r>
              <w:rPr>
                <w:b/>
              </w:rPr>
              <w:t>Síntese e delimitação da consulta</w:t>
            </w:r>
          </w:p>
        </w:tc>
      </w:tr>
      <w:tr w:rsidR="00DB072F" w14:paraId="6033F726" w14:textId="77777777">
        <w:trPr>
          <w:cantSplit/>
        </w:trPr>
        <w:tc>
          <w:tcPr>
            <w:tcW w:w="2200" w:type="dxa"/>
            <w:vAlign w:val="center"/>
          </w:tcPr>
          <w:p w14:paraId="519067E0" w14:textId="77777777" w:rsidR="00DB072F" w:rsidRDefault="0053141D">
            <w:pPr>
              <w:pStyle w:val="Reviso2Table"/>
            </w:pPr>
            <w:r>
              <w:t>Referência</w:t>
            </w:r>
          </w:p>
        </w:tc>
        <w:tc>
          <w:tcPr>
            <w:tcW w:w="6872" w:type="dxa"/>
            <w:vAlign w:val="center"/>
          </w:tcPr>
          <w:p w14:paraId="2BEDE341" w14:textId="77777777" w:rsidR="00DB072F" w:rsidRDefault="0053141D">
            <w:pPr>
              <w:pStyle w:val="Reviso2Table"/>
            </w:pPr>
            <w:r>
              <w:t>HOCHREITER, Sepp; SCHMIDHUBER, Jürgen. Long short-term memory. Neural Computation, v. 9, n. 8, p. 1735–1780, 1997.</w:t>
            </w:r>
          </w:p>
        </w:tc>
      </w:tr>
      <w:tr w:rsidR="00DB072F" w14:paraId="3A62B4CE" w14:textId="77777777">
        <w:trPr>
          <w:cantSplit/>
        </w:trPr>
        <w:tc>
          <w:tcPr>
            <w:tcW w:w="2200" w:type="dxa"/>
            <w:shd w:val="clear" w:color="auto" w:fill="F7F7F7"/>
            <w:vAlign w:val="center"/>
          </w:tcPr>
          <w:p w14:paraId="449D5208" w14:textId="77777777" w:rsidR="00DB072F" w:rsidRDefault="0053141D">
            <w:pPr>
              <w:pStyle w:val="Reviso2Table"/>
            </w:pPr>
            <w:r>
              <w:t>Fonte consultada</w:t>
            </w:r>
          </w:p>
        </w:tc>
        <w:tc>
          <w:tcPr>
            <w:tcW w:w="6872" w:type="dxa"/>
            <w:shd w:val="clear" w:color="auto" w:fill="F7F7F7"/>
            <w:vAlign w:val="center"/>
          </w:tcPr>
          <w:p w14:paraId="6260E5F4" w14:textId="77777777" w:rsidR="00DB072F" w:rsidRDefault="0053141D">
            <w:pPr>
              <w:pStyle w:val="Reviso2Table"/>
            </w:pPr>
            <w:r>
              <w:t>https://direct.mit.edu/neco/article/9/8/1735/6109/Long-Short-Term-Memory</w:t>
            </w:r>
          </w:p>
        </w:tc>
      </w:tr>
      <w:tr w:rsidR="00DB072F" w14:paraId="48B5419D" w14:textId="77777777">
        <w:trPr>
          <w:cantSplit/>
        </w:trPr>
        <w:tc>
          <w:tcPr>
            <w:tcW w:w="2200" w:type="dxa"/>
            <w:vAlign w:val="center"/>
          </w:tcPr>
          <w:p w14:paraId="77BF23A4" w14:textId="77777777" w:rsidR="00DB072F" w:rsidRDefault="0053141D">
            <w:pPr>
              <w:pStyle w:val="Reviso2Table"/>
            </w:pPr>
            <w:r>
              <w:t>Alcance da leitura</w:t>
            </w:r>
          </w:p>
        </w:tc>
        <w:tc>
          <w:tcPr>
            <w:tcW w:w="6872" w:type="dxa"/>
            <w:vAlign w:val="center"/>
          </w:tcPr>
          <w:p w14:paraId="7AC73E7D" w14:textId="77777777" w:rsidR="00DB072F" w:rsidRDefault="0053141D">
            <w:pPr>
              <w:pStyle w:val="Reviso2Table"/>
            </w:pPr>
            <w:r>
              <w:t>Resumo do editor e metadados. Forget gate moderno atribuído separadamente a Gers et al. (2000).</w:t>
            </w:r>
          </w:p>
        </w:tc>
      </w:tr>
      <w:tr w:rsidR="00DB072F" w14:paraId="3BA795B5" w14:textId="77777777">
        <w:trPr>
          <w:cantSplit/>
        </w:trPr>
        <w:tc>
          <w:tcPr>
            <w:tcW w:w="2200" w:type="dxa"/>
            <w:shd w:val="clear" w:color="auto" w:fill="F7F7F7"/>
            <w:vAlign w:val="center"/>
          </w:tcPr>
          <w:p w14:paraId="6CA2F5C8" w14:textId="77777777" w:rsidR="00DB072F" w:rsidRDefault="0053141D">
            <w:pPr>
              <w:pStyle w:val="Reviso2Table"/>
            </w:pPr>
            <w:r>
              <w:t>Questão do estudo</w:t>
            </w:r>
          </w:p>
        </w:tc>
        <w:tc>
          <w:tcPr>
            <w:tcW w:w="6872" w:type="dxa"/>
            <w:shd w:val="clear" w:color="auto" w:fill="F7F7F7"/>
            <w:vAlign w:val="center"/>
          </w:tcPr>
          <w:p w14:paraId="42BBDA04" w14:textId="77777777" w:rsidR="00DB072F" w:rsidRDefault="0053141D">
            <w:pPr>
              <w:pStyle w:val="Reviso2Table"/>
            </w:pPr>
            <w:r>
              <w:t>Como uma rede recorrente pode preservar informação útil em dependências de longo prazo?</w:t>
            </w:r>
          </w:p>
        </w:tc>
      </w:tr>
      <w:tr w:rsidR="00DB072F" w14:paraId="0C65E3E5" w14:textId="77777777">
        <w:trPr>
          <w:cantSplit/>
        </w:trPr>
        <w:tc>
          <w:tcPr>
            <w:tcW w:w="2200" w:type="dxa"/>
            <w:vAlign w:val="center"/>
          </w:tcPr>
          <w:p w14:paraId="27271AD2" w14:textId="77777777" w:rsidR="00DB072F" w:rsidRDefault="0053141D">
            <w:pPr>
              <w:pStyle w:val="Reviso2Table"/>
            </w:pPr>
            <w:r>
              <w:t>Contribuição identificada</w:t>
            </w:r>
          </w:p>
        </w:tc>
        <w:tc>
          <w:tcPr>
            <w:tcW w:w="6872" w:type="dxa"/>
            <w:vAlign w:val="center"/>
          </w:tcPr>
          <w:p w14:paraId="223CAA81" w14:textId="77777777" w:rsidR="00DB072F" w:rsidRDefault="0053141D">
            <w:pPr>
              <w:pStyle w:val="Reviso2Table"/>
            </w:pPr>
            <w:r>
              <w:t>O trabalho apresenta a arquitetura LSTM para enfrentar dificuldades de aprendizado de dependências temporais. Sua contribuição é metodológica e estabelece a base das redes recorrentes com mecanismos de memória empregadas em aplicações posteriores.</w:t>
            </w:r>
          </w:p>
        </w:tc>
      </w:tr>
      <w:tr w:rsidR="00DB072F" w14:paraId="5899FC71" w14:textId="77777777">
        <w:trPr>
          <w:cantSplit/>
        </w:trPr>
        <w:tc>
          <w:tcPr>
            <w:tcW w:w="2200" w:type="dxa"/>
            <w:shd w:val="clear" w:color="auto" w:fill="F7F7F7"/>
            <w:vAlign w:val="center"/>
          </w:tcPr>
          <w:p w14:paraId="3BE4712E" w14:textId="77777777" w:rsidR="00DB072F" w:rsidRDefault="0053141D">
            <w:pPr>
              <w:pStyle w:val="Reviso2Table"/>
            </w:pPr>
            <w:r>
              <w:t>Limites de interpretação</w:t>
            </w:r>
          </w:p>
        </w:tc>
        <w:tc>
          <w:tcPr>
            <w:tcW w:w="6872" w:type="dxa"/>
            <w:shd w:val="clear" w:color="auto" w:fill="F7F7F7"/>
            <w:vAlign w:val="center"/>
          </w:tcPr>
          <w:p w14:paraId="45D6B2E6" w14:textId="77777777" w:rsidR="00DB072F" w:rsidRDefault="0053141D">
            <w:pPr>
              <w:pStyle w:val="Reviso2Table"/>
            </w:pPr>
            <w:r>
              <w:t>A fonte não constitui evidência de previsão financeira ou calibração de VaR e ES. O mecanismo moderno de esquecimento recebe referência própria em Gers, Schmidhuber e Cummins (2000), sem atribuí-lo integralmente ao artigo de 1997.</w:t>
            </w:r>
          </w:p>
        </w:tc>
      </w:tr>
      <w:tr w:rsidR="00DB072F" w14:paraId="7C016F68" w14:textId="77777777">
        <w:trPr>
          <w:cantSplit/>
        </w:trPr>
        <w:tc>
          <w:tcPr>
            <w:tcW w:w="2200" w:type="dxa"/>
            <w:vAlign w:val="center"/>
          </w:tcPr>
          <w:p w14:paraId="2676618E" w14:textId="77777777" w:rsidR="00DB072F" w:rsidRDefault="0053141D">
            <w:pPr>
              <w:pStyle w:val="Reviso2Table"/>
            </w:pPr>
            <w:r>
              <w:t>Relação com o TCC</w:t>
            </w:r>
          </w:p>
        </w:tc>
        <w:tc>
          <w:tcPr>
            <w:tcW w:w="6872" w:type="dxa"/>
            <w:vAlign w:val="center"/>
          </w:tcPr>
          <w:p w14:paraId="26894AA5" w14:textId="77777777" w:rsidR="00DB072F" w:rsidRDefault="0053141D">
            <w:pPr>
              <w:pStyle w:val="Reviso2Table"/>
            </w:pPr>
            <w:r>
              <w:t>Justifica o mecanismo de memória da rede. A escolha de unidades, sequências e regularização continua dependente da validação temporal no problema estudado.</w:t>
            </w:r>
          </w:p>
        </w:tc>
      </w:tr>
    </w:tbl>
    <w:p w14:paraId="5E1BF652" w14:textId="77777777" w:rsidR="00DB072F" w:rsidRDefault="0053141D">
      <w:pPr>
        <w:pStyle w:val="Reviso2Source"/>
      </w:pPr>
      <w:r>
        <w:t>Fonte: síntese do autor, limitada ao material descrito no campo Alcance da leitura.</w:t>
      </w:r>
    </w:p>
    <w:p w14:paraId="71C58645" w14:textId="77777777" w:rsidR="00DB072F" w:rsidRDefault="0053141D">
      <w:pPr>
        <w:pStyle w:val="Reviso2Chapter"/>
      </w:pPr>
      <w:bookmarkStart w:id="51" w:name="_Toc243470630"/>
      <w:r>
        <w:lastRenderedPageBreak/>
        <w:t>APÊNDICE G — SÍNTESE DE ARDIA ET AL. (2019)</w:t>
      </w:r>
      <w:bookmarkEnd w:id="51"/>
    </w:p>
    <w:tbl>
      <w:tblPr>
        <w:tblW w:w="907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200"/>
        <w:gridCol w:w="6872"/>
      </w:tblGrid>
      <w:tr w:rsidR="00DB072F" w14:paraId="0C7CF852" w14:textId="77777777">
        <w:trPr>
          <w:cantSplit/>
          <w:tblHeader/>
        </w:trPr>
        <w:tc>
          <w:tcPr>
            <w:tcW w:w="2200" w:type="dxa"/>
            <w:shd w:val="clear" w:color="auto" w:fill="E7E6E6"/>
            <w:vAlign w:val="center"/>
          </w:tcPr>
          <w:p w14:paraId="41BD0724" w14:textId="77777777" w:rsidR="00DB072F" w:rsidRDefault="0053141D">
            <w:pPr>
              <w:pStyle w:val="Reviso2Table"/>
            </w:pPr>
            <w:r>
              <w:rPr>
                <w:b/>
              </w:rPr>
              <w:t>Campo</w:t>
            </w:r>
          </w:p>
        </w:tc>
        <w:tc>
          <w:tcPr>
            <w:tcW w:w="6872" w:type="dxa"/>
            <w:shd w:val="clear" w:color="auto" w:fill="E7E6E6"/>
            <w:vAlign w:val="center"/>
          </w:tcPr>
          <w:p w14:paraId="0BC7D682" w14:textId="77777777" w:rsidR="00DB072F" w:rsidRDefault="0053141D">
            <w:pPr>
              <w:pStyle w:val="Reviso2Table"/>
            </w:pPr>
            <w:r>
              <w:rPr>
                <w:b/>
              </w:rPr>
              <w:t>Síntese e delimitação da consulta</w:t>
            </w:r>
          </w:p>
        </w:tc>
      </w:tr>
      <w:tr w:rsidR="00DB072F" w14:paraId="351B0A8C" w14:textId="77777777">
        <w:trPr>
          <w:cantSplit/>
        </w:trPr>
        <w:tc>
          <w:tcPr>
            <w:tcW w:w="2200" w:type="dxa"/>
            <w:vAlign w:val="center"/>
          </w:tcPr>
          <w:p w14:paraId="314F1305" w14:textId="77777777" w:rsidR="00DB072F" w:rsidRDefault="0053141D">
            <w:pPr>
              <w:pStyle w:val="Reviso2Table"/>
            </w:pPr>
            <w:r>
              <w:t>Referência</w:t>
            </w:r>
          </w:p>
        </w:tc>
        <w:tc>
          <w:tcPr>
            <w:tcW w:w="6872" w:type="dxa"/>
            <w:vAlign w:val="center"/>
          </w:tcPr>
          <w:p w14:paraId="41996741" w14:textId="77777777" w:rsidR="00DB072F" w:rsidRDefault="0053141D">
            <w:pPr>
              <w:pStyle w:val="Reviso2Table"/>
            </w:pPr>
            <w:r>
              <w:t>ARDIA, David; BLUTEAU, Keven; BOUDT, Kris; CATANIA, Leopoldo; TROTTIER, Denis-Alexandre. Markov-switching GARCH models in R: the MSGARCH package. Journal of Statistical Software, v. 91, n. 4, p. 1–38, 2019.</w:t>
            </w:r>
          </w:p>
        </w:tc>
      </w:tr>
      <w:tr w:rsidR="00DB072F" w14:paraId="536CBDC4" w14:textId="77777777">
        <w:trPr>
          <w:cantSplit/>
        </w:trPr>
        <w:tc>
          <w:tcPr>
            <w:tcW w:w="2200" w:type="dxa"/>
            <w:shd w:val="clear" w:color="auto" w:fill="F7F7F7"/>
            <w:vAlign w:val="center"/>
          </w:tcPr>
          <w:p w14:paraId="69705FD8" w14:textId="77777777" w:rsidR="00DB072F" w:rsidRDefault="0053141D">
            <w:pPr>
              <w:pStyle w:val="Reviso2Table"/>
            </w:pPr>
            <w:r>
              <w:t>Fonte consultada</w:t>
            </w:r>
          </w:p>
        </w:tc>
        <w:tc>
          <w:tcPr>
            <w:tcW w:w="6872" w:type="dxa"/>
            <w:shd w:val="clear" w:color="auto" w:fill="F7F7F7"/>
            <w:vAlign w:val="center"/>
          </w:tcPr>
          <w:p w14:paraId="1719CA25" w14:textId="77777777" w:rsidR="00DB072F" w:rsidRDefault="0053141D">
            <w:pPr>
              <w:pStyle w:val="Reviso2Table"/>
            </w:pPr>
            <w:r>
              <w:t>https://www.jstatsoft.org/article/view/v091i04</w:t>
            </w:r>
          </w:p>
        </w:tc>
      </w:tr>
      <w:tr w:rsidR="00DB072F" w14:paraId="70799641" w14:textId="77777777">
        <w:trPr>
          <w:cantSplit/>
        </w:trPr>
        <w:tc>
          <w:tcPr>
            <w:tcW w:w="2200" w:type="dxa"/>
            <w:vAlign w:val="center"/>
          </w:tcPr>
          <w:p w14:paraId="0DB8D742" w14:textId="77777777" w:rsidR="00DB072F" w:rsidRDefault="0053141D">
            <w:pPr>
              <w:pStyle w:val="Reviso2Table"/>
            </w:pPr>
            <w:r>
              <w:t>Alcance da leitura</w:t>
            </w:r>
          </w:p>
        </w:tc>
        <w:tc>
          <w:tcPr>
            <w:tcW w:w="6872" w:type="dxa"/>
            <w:vAlign w:val="center"/>
          </w:tcPr>
          <w:p w14:paraId="0726A44B" w14:textId="77777777" w:rsidR="00DB072F" w:rsidRDefault="0053141D">
            <w:pPr>
              <w:pStyle w:val="Reviso2Table"/>
            </w:pPr>
            <w:r>
              <w:t>Página e PDF primários; trechos de especificação e variâncias paralelas conferidos. Não sustenta superioridade universal.</w:t>
            </w:r>
          </w:p>
        </w:tc>
      </w:tr>
      <w:tr w:rsidR="00DB072F" w14:paraId="0C79AAAA" w14:textId="77777777">
        <w:trPr>
          <w:cantSplit/>
        </w:trPr>
        <w:tc>
          <w:tcPr>
            <w:tcW w:w="2200" w:type="dxa"/>
            <w:shd w:val="clear" w:color="auto" w:fill="F7F7F7"/>
            <w:vAlign w:val="center"/>
          </w:tcPr>
          <w:p w14:paraId="0386209F" w14:textId="77777777" w:rsidR="00DB072F" w:rsidRDefault="0053141D">
            <w:pPr>
              <w:pStyle w:val="Reviso2Table"/>
            </w:pPr>
            <w:r>
              <w:t>Questão do estudo</w:t>
            </w:r>
          </w:p>
        </w:tc>
        <w:tc>
          <w:tcPr>
            <w:tcW w:w="6872" w:type="dxa"/>
            <w:shd w:val="clear" w:color="auto" w:fill="F7F7F7"/>
            <w:vAlign w:val="center"/>
          </w:tcPr>
          <w:p w14:paraId="4B9E218B" w14:textId="77777777" w:rsidR="00DB072F" w:rsidRDefault="0053141D">
            <w:pPr>
              <w:pStyle w:val="Reviso2Table"/>
            </w:pPr>
            <w:r>
              <w:t>Como especificar, estimar e utilizar modelos GARCH com mudança de regime no ambiente R?</w:t>
            </w:r>
          </w:p>
        </w:tc>
      </w:tr>
      <w:tr w:rsidR="00DB072F" w14:paraId="449BF274" w14:textId="77777777">
        <w:trPr>
          <w:cantSplit/>
        </w:trPr>
        <w:tc>
          <w:tcPr>
            <w:tcW w:w="2200" w:type="dxa"/>
            <w:vAlign w:val="center"/>
          </w:tcPr>
          <w:p w14:paraId="3294F514" w14:textId="77777777" w:rsidR="00DB072F" w:rsidRDefault="0053141D">
            <w:pPr>
              <w:pStyle w:val="Reviso2Table"/>
            </w:pPr>
            <w:r>
              <w:t>Contribuição identificada</w:t>
            </w:r>
          </w:p>
        </w:tc>
        <w:tc>
          <w:tcPr>
            <w:tcW w:w="6872" w:type="dxa"/>
            <w:vAlign w:val="center"/>
          </w:tcPr>
          <w:p w14:paraId="178AD862" w14:textId="77777777" w:rsidR="00DB072F" w:rsidRDefault="0053141D">
            <w:pPr>
              <w:pStyle w:val="Reviso2Table"/>
            </w:pPr>
            <w:r>
              <w:t>O artigo apresenta o pacote MSGARCH e suas ferramentas de especificação, estimação e previsão. Os trechos metodológicos consultados esclarecem a estrutura de variâncias paralelas e o papel das distribuições condicionais nas previsões de risco.</w:t>
            </w:r>
          </w:p>
        </w:tc>
      </w:tr>
      <w:tr w:rsidR="00DB072F" w14:paraId="76DDE240" w14:textId="77777777">
        <w:trPr>
          <w:cantSplit/>
        </w:trPr>
        <w:tc>
          <w:tcPr>
            <w:tcW w:w="2200" w:type="dxa"/>
            <w:shd w:val="clear" w:color="auto" w:fill="F7F7F7"/>
            <w:vAlign w:val="center"/>
          </w:tcPr>
          <w:p w14:paraId="2DB13797" w14:textId="77777777" w:rsidR="00DB072F" w:rsidRDefault="0053141D">
            <w:pPr>
              <w:pStyle w:val="Reviso2Table"/>
            </w:pPr>
            <w:r>
              <w:t>Limites de interpretação</w:t>
            </w:r>
          </w:p>
        </w:tc>
        <w:tc>
          <w:tcPr>
            <w:tcW w:w="6872" w:type="dxa"/>
            <w:shd w:val="clear" w:color="auto" w:fill="F7F7F7"/>
            <w:vAlign w:val="center"/>
          </w:tcPr>
          <w:p w14:paraId="02AE6178" w14:textId="77777777" w:rsidR="00DB072F" w:rsidRDefault="0053141D">
            <w:pPr>
              <w:pStyle w:val="Reviso2Table"/>
            </w:pPr>
            <w:r>
              <w:t>A convergência e o pareamento das previsões precisam ser verificados em cada aplicação. A densidade paramétrica e a simulação histórica filtrada geram cenários por regras diferentes, que devem ser identificadas na comparação.</w:t>
            </w:r>
          </w:p>
        </w:tc>
      </w:tr>
      <w:tr w:rsidR="00DB072F" w14:paraId="472C55B0" w14:textId="77777777">
        <w:trPr>
          <w:cantSplit/>
        </w:trPr>
        <w:tc>
          <w:tcPr>
            <w:tcW w:w="2200" w:type="dxa"/>
            <w:vAlign w:val="center"/>
          </w:tcPr>
          <w:p w14:paraId="393DB128" w14:textId="77777777" w:rsidR="00DB072F" w:rsidRDefault="0053141D">
            <w:pPr>
              <w:pStyle w:val="Reviso2Table"/>
            </w:pPr>
            <w:r>
              <w:t>Relação com o TCC</w:t>
            </w:r>
          </w:p>
        </w:tc>
        <w:tc>
          <w:tcPr>
            <w:tcW w:w="6872" w:type="dxa"/>
            <w:vAlign w:val="center"/>
          </w:tcPr>
          <w:p w14:paraId="0EC21856" w14:textId="77777777" w:rsidR="00DB072F" w:rsidRDefault="0053141D">
            <w:pPr>
              <w:pStyle w:val="Reviso2Table"/>
            </w:pPr>
            <w:r>
              <w:t>Orienta o benchmark MS-GARCH aplicado ao retorno agregado da mesma exposição, com horizonte e datas compatíveis com os modelos neurais.</w:t>
            </w:r>
          </w:p>
        </w:tc>
      </w:tr>
    </w:tbl>
    <w:p w14:paraId="0AE00E7E" w14:textId="77777777" w:rsidR="00DB072F" w:rsidRDefault="0053141D">
      <w:pPr>
        <w:pStyle w:val="Reviso2Source"/>
      </w:pPr>
      <w:r>
        <w:t>Fonte: síntese do autor, limitada ao material descrito no campo Alcance da leitura.</w:t>
      </w:r>
    </w:p>
    <w:p w14:paraId="5098AB2C" w14:textId="77777777" w:rsidR="00DB072F" w:rsidRDefault="0053141D">
      <w:pPr>
        <w:pStyle w:val="Reviso2Chapter"/>
      </w:pPr>
      <w:bookmarkStart w:id="52" w:name="_Toc243470631"/>
      <w:r>
        <w:lastRenderedPageBreak/>
        <w:t>APÊNDICE H — SÍNTESE DE LUNDBERG E LEE (2017)</w:t>
      </w:r>
      <w:bookmarkEnd w:id="52"/>
    </w:p>
    <w:tbl>
      <w:tblPr>
        <w:tblW w:w="907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200"/>
        <w:gridCol w:w="6872"/>
      </w:tblGrid>
      <w:tr w:rsidR="00DB072F" w14:paraId="516643A6" w14:textId="77777777">
        <w:trPr>
          <w:cantSplit/>
          <w:tblHeader/>
        </w:trPr>
        <w:tc>
          <w:tcPr>
            <w:tcW w:w="2200" w:type="dxa"/>
            <w:shd w:val="clear" w:color="auto" w:fill="E7E6E6"/>
            <w:vAlign w:val="center"/>
          </w:tcPr>
          <w:p w14:paraId="0BEBA80E" w14:textId="77777777" w:rsidR="00DB072F" w:rsidRDefault="0053141D">
            <w:pPr>
              <w:pStyle w:val="Reviso2Table"/>
            </w:pPr>
            <w:r>
              <w:rPr>
                <w:b/>
              </w:rPr>
              <w:t>Campo</w:t>
            </w:r>
          </w:p>
        </w:tc>
        <w:tc>
          <w:tcPr>
            <w:tcW w:w="6872" w:type="dxa"/>
            <w:shd w:val="clear" w:color="auto" w:fill="E7E6E6"/>
            <w:vAlign w:val="center"/>
          </w:tcPr>
          <w:p w14:paraId="6A9AD83B" w14:textId="77777777" w:rsidR="00DB072F" w:rsidRDefault="0053141D">
            <w:pPr>
              <w:pStyle w:val="Reviso2Table"/>
            </w:pPr>
            <w:r>
              <w:rPr>
                <w:b/>
              </w:rPr>
              <w:t>Síntese e delimitação da consulta</w:t>
            </w:r>
          </w:p>
        </w:tc>
      </w:tr>
      <w:tr w:rsidR="00DB072F" w14:paraId="130B0158" w14:textId="77777777">
        <w:trPr>
          <w:cantSplit/>
        </w:trPr>
        <w:tc>
          <w:tcPr>
            <w:tcW w:w="2200" w:type="dxa"/>
            <w:vAlign w:val="center"/>
          </w:tcPr>
          <w:p w14:paraId="5B3E0694" w14:textId="77777777" w:rsidR="00DB072F" w:rsidRDefault="0053141D">
            <w:pPr>
              <w:pStyle w:val="Reviso2Table"/>
            </w:pPr>
            <w:r>
              <w:t>Referência</w:t>
            </w:r>
          </w:p>
        </w:tc>
        <w:tc>
          <w:tcPr>
            <w:tcW w:w="6872" w:type="dxa"/>
            <w:vAlign w:val="center"/>
          </w:tcPr>
          <w:p w14:paraId="758F3C58" w14:textId="77777777" w:rsidR="00DB072F" w:rsidRDefault="0053141D">
            <w:pPr>
              <w:pStyle w:val="Reviso2Table"/>
            </w:pPr>
            <w:r>
              <w:t>LUNDBERG, Scott M.; LEE, Su-In. A unified approach to interpreting model predictions. In: ADVANCES IN NEURAL INFORMATION PROCESSING SYSTEMS, v. 30, 2017. Proceedings [...]. Curran Associates, 2017.</w:t>
            </w:r>
          </w:p>
        </w:tc>
      </w:tr>
      <w:tr w:rsidR="00DB072F" w14:paraId="163C2674" w14:textId="77777777">
        <w:trPr>
          <w:cantSplit/>
        </w:trPr>
        <w:tc>
          <w:tcPr>
            <w:tcW w:w="2200" w:type="dxa"/>
            <w:shd w:val="clear" w:color="auto" w:fill="F7F7F7"/>
            <w:vAlign w:val="center"/>
          </w:tcPr>
          <w:p w14:paraId="283F4CBC" w14:textId="77777777" w:rsidR="00DB072F" w:rsidRDefault="0053141D">
            <w:pPr>
              <w:pStyle w:val="Reviso2Table"/>
            </w:pPr>
            <w:r>
              <w:t>Fonte consultada</w:t>
            </w:r>
          </w:p>
        </w:tc>
        <w:tc>
          <w:tcPr>
            <w:tcW w:w="6872" w:type="dxa"/>
            <w:shd w:val="clear" w:color="auto" w:fill="F7F7F7"/>
            <w:vAlign w:val="center"/>
          </w:tcPr>
          <w:p w14:paraId="1F6F91E1" w14:textId="77777777" w:rsidR="00DB072F" w:rsidRDefault="0053141D">
            <w:pPr>
              <w:pStyle w:val="Reviso2Table"/>
            </w:pPr>
            <w:r>
              <w:t>https://proceedings.neurips.cc/paper_files/paper/2017/hash/8a20a8621978632d76c43dfd28b67767-Abstract.html</w:t>
            </w:r>
          </w:p>
        </w:tc>
      </w:tr>
      <w:tr w:rsidR="00DB072F" w14:paraId="343D3333" w14:textId="77777777">
        <w:trPr>
          <w:cantSplit/>
        </w:trPr>
        <w:tc>
          <w:tcPr>
            <w:tcW w:w="2200" w:type="dxa"/>
            <w:vAlign w:val="center"/>
          </w:tcPr>
          <w:p w14:paraId="1C9BEF15" w14:textId="77777777" w:rsidR="00DB072F" w:rsidRDefault="0053141D">
            <w:pPr>
              <w:pStyle w:val="Reviso2Table"/>
            </w:pPr>
            <w:r>
              <w:t>Alcance da leitura</w:t>
            </w:r>
          </w:p>
        </w:tc>
        <w:tc>
          <w:tcPr>
            <w:tcW w:w="6872" w:type="dxa"/>
            <w:vAlign w:val="center"/>
          </w:tcPr>
          <w:p w14:paraId="252FC249" w14:textId="77777777" w:rsidR="00DB072F" w:rsidRDefault="0053141D">
            <w:pPr>
              <w:pStyle w:val="Reviso2Table"/>
            </w:pPr>
            <w:r>
              <w:t>Resumo e abertura do artigo oficial; propriedades de atribuição não confundidas com causalidade.</w:t>
            </w:r>
          </w:p>
        </w:tc>
      </w:tr>
      <w:tr w:rsidR="00DB072F" w14:paraId="6D57B2F6" w14:textId="77777777">
        <w:trPr>
          <w:cantSplit/>
        </w:trPr>
        <w:tc>
          <w:tcPr>
            <w:tcW w:w="2200" w:type="dxa"/>
            <w:shd w:val="clear" w:color="auto" w:fill="F7F7F7"/>
            <w:vAlign w:val="center"/>
          </w:tcPr>
          <w:p w14:paraId="2AE20CB6" w14:textId="77777777" w:rsidR="00DB072F" w:rsidRDefault="0053141D">
            <w:pPr>
              <w:pStyle w:val="Reviso2Table"/>
            </w:pPr>
            <w:r>
              <w:t>Questão do estudo</w:t>
            </w:r>
          </w:p>
        </w:tc>
        <w:tc>
          <w:tcPr>
            <w:tcW w:w="6872" w:type="dxa"/>
            <w:shd w:val="clear" w:color="auto" w:fill="F7F7F7"/>
            <w:vAlign w:val="center"/>
          </w:tcPr>
          <w:p w14:paraId="3D0E6C26" w14:textId="77777777" w:rsidR="00DB072F" w:rsidRDefault="0053141D">
            <w:pPr>
              <w:pStyle w:val="Reviso2Table"/>
            </w:pPr>
            <w:r>
              <w:t>Como atribuir contribuições das variáveis a uma previsão individual de um modelo?</w:t>
            </w:r>
          </w:p>
        </w:tc>
      </w:tr>
      <w:tr w:rsidR="00DB072F" w14:paraId="479B519A" w14:textId="77777777">
        <w:trPr>
          <w:cantSplit/>
        </w:trPr>
        <w:tc>
          <w:tcPr>
            <w:tcW w:w="2200" w:type="dxa"/>
            <w:vAlign w:val="center"/>
          </w:tcPr>
          <w:p w14:paraId="58797A4E" w14:textId="77777777" w:rsidR="00DB072F" w:rsidRDefault="0053141D">
            <w:pPr>
              <w:pStyle w:val="Reviso2Table"/>
            </w:pPr>
            <w:r>
              <w:t>Contribuição identificada</w:t>
            </w:r>
          </w:p>
        </w:tc>
        <w:tc>
          <w:tcPr>
            <w:tcW w:w="6872" w:type="dxa"/>
            <w:vAlign w:val="center"/>
          </w:tcPr>
          <w:p w14:paraId="4755F4C0" w14:textId="77777777" w:rsidR="00DB072F" w:rsidRDefault="0053141D">
            <w:pPr>
              <w:pStyle w:val="Reviso2Table"/>
            </w:pPr>
            <w:r>
              <w:t>O artigo apresenta uma formulação unificadora de explicações aditivas baseada em valores de Shapley. O SHAP permite examinar a contribuição atribuída a cada entrada relativamente a uma referência definida, apoiando a interpretação do comportamento preditivo.</w:t>
            </w:r>
          </w:p>
        </w:tc>
      </w:tr>
      <w:tr w:rsidR="00DB072F" w14:paraId="3B371B78" w14:textId="77777777">
        <w:trPr>
          <w:cantSplit/>
        </w:trPr>
        <w:tc>
          <w:tcPr>
            <w:tcW w:w="2200" w:type="dxa"/>
            <w:shd w:val="clear" w:color="auto" w:fill="F7F7F7"/>
            <w:vAlign w:val="center"/>
          </w:tcPr>
          <w:p w14:paraId="2C965158" w14:textId="77777777" w:rsidR="00DB072F" w:rsidRDefault="0053141D">
            <w:pPr>
              <w:pStyle w:val="Reviso2Table"/>
            </w:pPr>
            <w:r>
              <w:t>Limites de interpretação</w:t>
            </w:r>
          </w:p>
        </w:tc>
        <w:tc>
          <w:tcPr>
            <w:tcW w:w="6872" w:type="dxa"/>
            <w:shd w:val="clear" w:color="auto" w:fill="F7F7F7"/>
            <w:vAlign w:val="center"/>
          </w:tcPr>
          <w:p w14:paraId="1DBB72FD" w14:textId="77777777" w:rsidR="00DB072F" w:rsidRDefault="0053141D">
            <w:pPr>
              <w:pStyle w:val="Reviso2Table"/>
            </w:pPr>
            <w:r>
              <w:t>As contribuições dependem da referência e do tratamento das variáveis ausentes ou dependentes. Elas não demonstram causalidade nem corrigem previsões de risco mal calibradas. Para séries recorrentes, o agrupamento de variáveis e defasagens requer especificação própria.</w:t>
            </w:r>
          </w:p>
        </w:tc>
      </w:tr>
      <w:tr w:rsidR="00DB072F" w14:paraId="2A82AEE0" w14:textId="77777777">
        <w:trPr>
          <w:cantSplit/>
        </w:trPr>
        <w:tc>
          <w:tcPr>
            <w:tcW w:w="2200" w:type="dxa"/>
            <w:vAlign w:val="center"/>
          </w:tcPr>
          <w:p w14:paraId="4C258FFA" w14:textId="77777777" w:rsidR="00DB072F" w:rsidRDefault="0053141D">
            <w:pPr>
              <w:pStyle w:val="Reviso2Table"/>
            </w:pPr>
            <w:r>
              <w:t>Relação com o TCC</w:t>
            </w:r>
          </w:p>
        </w:tc>
        <w:tc>
          <w:tcPr>
            <w:tcW w:w="6872" w:type="dxa"/>
            <w:vAlign w:val="center"/>
          </w:tcPr>
          <w:p w14:paraId="58114B4D" w14:textId="77777777" w:rsidR="00F052CA" w:rsidRDefault="00D2386F">
            <w:r>
              <w:t>Fundamenta a etapa complementar de interpretação, executada nas janelas 14 e 20, em conjunto com os limites discutidos por Janzing, Minorics e Blöbaum (2020).</w:t>
            </w:r>
          </w:p>
        </w:tc>
      </w:tr>
    </w:tbl>
    <w:p w14:paraId="727BA269" w14:textId="77777777" w:rsidR="00DB072F" w:rsidRDefault="0053141D">
      <w:pPr>
        <w:pStyle w:val="Reviso2Source"/>
      </w:pPr>
      <w:r>
        <w:t>Fonte: síntese do autor, limitada ao material descrito no campo Alcance da leitura.</w:t>
      </w:r>
    </w:p>
    <w:p w14:paraId="0C128A96" w14:textId="77777777" w:rsidR="00DB072F" w:rsidRDefault="0053141D">
      <w:pPr>
        <w:pStyle w:val="Reviso2Chapter"/>
      </w:pPr>
      <w:bookmarkStart w:id="53" w:name="_Toc243470632"/>
      <w:r>
        <w:lastRenderedPageBreak/>
        <w:t>APÊNDICE I — SÍNTESE DE CHRISTOFFERSEN (1998)</w:t>
      </w:r>
      <w:bookmarkEnd w:id="53"/>
    </w:p>
    <w:tbl>
      <w:tblPr>
        <w:tblW w:w="907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200"/>
        <w:gridCol w:w="6872"/>
      </w:tblGrid>
      <w:tr w:rsidR="00DB072F" w14:paraId="061A574A" w14:textId="77777777">
        <w:trPr>
          <w:cantSplit/>
          <w:tblHeader/>
        </w:trPr>
        <w:tc>
          <w:tcPr>
            <w:tcW w:w="2200" w:type="dxa"/>
            <w:shd w:val="clear" w:color="auto" w:fill="E7E6E6"/>
            <w:vAlign w:val="center"/>
          </w:tcPr>
          <w:p w14:paraId="3E5B5A75" w14:textId="77777777" w:rsidR="00DB072F" w:rsidRDefault="0053141D">
            <w:pPr>
              <w:pStyle w:val="Reviso2Table"/>
            </w:pPr>
            <w:r>
              <w:rPr>
                <w:b/>
              </w:rPr>
              <w:t>Campo</w:t>
            </w:r>
          </w:p>
        </w:tc>
        <w:tc>
          <w:tcPr>
            <w:tcW w:w="6872" w:type="dxa"/>
            <w:shd w:val="clear" w:color="auto" w:fill="E7E6E6"/>
            <w:vAlign w:val="center"/>
          </w:tcPr>
          <w:p w14:paraId="51AA1CA9" w14:textId="77777777" w:rsidR="00DB072F" w:rsidRDefault="0053141D">
            <w:pPr>
              <w:pStyle w:val="Reviso2Table"/>
            </w:pPr>
            <w:r>
              <w:rPr>
                <w:b/>
              </w:rPr>
              <w:t>Síntese e delimitação da consulta</w:t>
            </w:r>
          </w:p>
        </w:tc>
      </w:tr>
      <w:tr w:rsidR="00DB072F" w14:paraId="111BB481" w14:textId="77777777">
        <w:trPr>
          <w:cantSplit/>
        </w:trPr>
        <w:tc>
          <w:tcPr>
            <w:tcW w:w="2200" w:type="dxa"/>
            <w:vAlign w:val="center"/>
          </w:tcPr>
          <w:p w14:paraId="3B9367D5" w14:textId="77777777" w:rsidR="00DB072F" w:rsidRDefault="0053141D">
            <w:pPr>
              <w:pStyle w:val="Reviso2Table"/>
            </w:pPr>
            <w:r>
              <w:t>Referência</w:t>
            </w:r>
          </w:p>
        </w:tc>
        <w:tc>
          <w:tcPr>
            <w:tcW w:w="6872" w:type="dxa"/>
            <w:vAlign w:val="center"/>
          </w:tcPr>
          <w:p w14:paraId="210327D4" w14:textId="77777777" w:rsidR="00DB072F" w:rsidRDefault="0053141D">
            <w:pPr>
              <w:pStyle w:val="Reviso2Table"/>
            </w:pPr>
            <w:r>
              <w:t>CHRISTOFFERSEN, Peter F. Evaluating interval forecasts. International Economic Review, v. 39, n. 4, p. 841–862, 1998.</w:t>
            </w:r>
          </w:p>
        </w:tc>
      </w:tr>
      <w:tr w:rsidR="00DB072F" w14:paraId="58F6FB16" w14:textId="77777777">
        <w:trPr>
          <w:cantSplit/>
        </w:trPr>
        <w:tc>
          <w:tcPr>
            <w:tcW w:w="2200" w:type="dxa"/>
            <w:shd w:val="clear" w:color="auto" w:fill="F7F7F7"/>
            <w:vAlign w:val="center"/>
          </w:tcPr>
          <w:p w14:paraId="6EE86D16" w14:textId="77777777" w:rsidR="00DB072F" w:rsidRDefault="0053141D">
            <w:pPr>
              <w:pStyle w:val="Reviso2Table"/>
            </w:pPr>
            <w:r>
              <w:t>Fonte consultada</w:t>
            </w:r>
          </w:p>
        </w:tc>
        <w:tc>
          <w:tcPr>
            <w:tcW w:w="6872" w:type="dxa"/>
            <w:shd w:val="clear" w:color="auto" w:fill="F7F7F7"/>
            <w:vAlign w:val="center"/>
          </w:tcPr>
          <w:p w14:paraId="65ADD5FB" w14:textId="77777777" w:rsidR="00DB072F" w:rsidRDefault="0053141D">
            <w:pPr>
              <w:pStyle w:val="Reviso2Table"/>
            </w:pPr>
            <w:r>
              <w:t>https://christoffersen.com/academic-papers/</w:t>
            </w:r>
          </w:p>
        </w:tc>
      </w:tr>
      <w:tr w:rsidR="00DB072F" w14:paraId="4838C29D" w14:textId="77777777">
        <w:trPr>
          <w:cantSplit/>
        </w:trPr>
        <w:tc>
          <w:tcPr>
            <w:tcW w:w="2200" w:type="dxa"/>
            <w:vAlign w:val="center"/>
          </w:tcPr>
          <w:p w14:paraId="160B7354" w14:textId="77777777" w:rsidR="00DB072F" w:rsidRDefault="0053141D">
            <w:pPr>
              <w:pStyle w:val="Reviso2Table"/>
            </w:pPr>
            <w:r>
              <w:t>Alcance da leitura</w:t>
            </w:r>
          </w:p>
        </w:tc>
        <w:tc>
          <w:tcPr>
            <w:tcW w:w="6872" w:type="dxa"/>
            <w:vAlign w:val="center"/>
          </w:tcPr>
          <w:p w14:paraId="50542C6A" w14:textId="77777777" w:rsidR="00DB072F" w:rsidRDefault="0053141D">
            <w:pPr>
              <w:pStyle w:val="Reviso2Table"/>
            </w:pPr>
            <w:r>
              <w:t>Página do autor e primeira página do artigo; referência do teste e distinção entre cobertura incondicional e condicional. Nenhuma aplicação ao S&amp;P foi atribuída ao artigo.</w:t>
            </w:r>
          </w:p>
        </w:tc>
      </w:tr>
      <w:tr w:rsidR="00DB072F" w14:paraId="7080491D" w14:textId="77777777">
        <w:trPr>
          <w:cantSplit/>
        </w:trPr>
        <w:tc>
          <w:tcPr>
            <w:tcW w:w="2200" w:type="dxa"/>
            <w:shd w:val="clear" w:color="auto" w:fill="F7F7F7"/>
            <w:vAlign w:val="center"/>
          </w:tcPr>
          <w:p w14:paraId="448ECE49" w14:textId="77777777" w:rsidR="00DB072F" w:rsidRDefault="0053141D">
            <w:pPr>
              <w:pStyle w:val="Reviso2Table"/>
            </w:pPr>
            <w:r>
              <w:t>Questão do estudo</w:t>
            </w:r>
          </w:p>
        </w:tc>
        <w:tc>
          <w:tcPr>
            <w:tcW w:w="6872" w:type="dxa"/>
            <w:shd w:val="clear" w:color="auto" w:fill="F7F7F7"/>
            <w:vAlign w:val="center"/>
          </w:tcPr>
          <w:p w14:paraId="358CAAC6" w14:textId="77777777" w:rsidR="00DB072F" w:rsidRDefault="0053141D">
            <w:pPr>
              <w:pStyle w:val="Reviso2Table"/>
            </w:pPr>
            <w:r>
              <w:t>Como avaliar intervalos preditivos considerando frequência de falhas e dependência temporal?</w:t>
            </w:r>
          </w:p>
        </w:tc>
      </w:tr>
      <w:tr w:rsidR="00DB072F" w14:paraId="5F7D2E19" w14:textId="77777777">
        <w:trPr>
          <w:cantSplit/>
        </w:trPr>
        <w:tc>
          <w:tcPr>
            <w:tcW w:w="2200" w:type="dxa"/>
            <w:vAlign w:val="center"/>
          </w:tcPr>
          <w:p w14:paraId="0481DFEA" w14:textId="77777777" w:rsidR="00DB072F" w:rsidRDefault="0053141D">
            <w:pPr>
              <w:pStyle w:val="Reviso2Table"/>
            </w:pPr>
            <w:r>
              <w:t>Contribuição identificada</w:t>
            </w:r>
          </w:p>
        </w:tc>
        <w:tc>
          <w:tcPr>
            <w:tcW w:w="6872" w:type="dxa"/>
            <w:vAlign w:val="center"/>
          </w:tcPr>
          <w:p w14:paraId="0577C996" w14:textId="77777777" w:rsidR="00DB072F" w:rsidRDefault="0053141D">
            <w:pPr>
              <w:pStyle w:val="Reviso2Table"/>
            </w:pPr>
            <w:r>
              <w:t>A contribuição distingue a cobertura total da avaliação condicional que também considera a sequência temporal das violações. Uma frequência agregada aparentemente adequada pode ocultar concentração de falhas em períodos curtos.</w:t>
            </w:r>
          </w:p>
        </w:tc>
      </w:tr>
      <w:tr w:rsidR="00DB072F" w14:paraId="4F789D43" w14:textId="77777777">
        <w:trPr>
          <w:cantSplit/>
        </w:trPr>
        <w:tc>
          <w:tcPr>
            <w:tcW w:w="2200" w:type="dxa"/>
            <w:shd w:val="clear" w:color="auto" w:fill="F7F7F7"/>
            <w:vAlign w:val="center"/>
          </w:tcPr>
          <w:p w14:paraId="605E4E2C" w14:textId="77777777" w:rsidR="00DB072F" w:rsidRDefault="0053141D">
            <w:pPr>
              <w:pStyle w:val="Reviso2Table"/>
            </w:pPr>
            <w:r>
              <w:t>Limites de interpretação</w:t>
            </w:r>
          </w:p>
        </w:tc>
        <w:tc>
          <w:tcPr>
            <w:tcW w:w="6872" w:type="dxa"/>
            <w:shd w:val="clear" w:color="auto" w:fill="F7F7F7"/>
            <w:vAlign w:val="center"/>
          </w:tcPr>
          <w:p w14:paraId="1CE9C6B4" w14:textId="77777777" w:rsidR="00DB072F" w:rsidRDefault="0053141D">
            <w:pPr>
              <w:pStyle w:val="Reviso2Table"/>
            </w:pPr>
            <w:r>
              <w:t>A consulta verificou a referência, a página do autor e a abertura do artigo; não constitui reprodução de todos os seus resultados. Amostras raras e poucas transições exigem cautela. Dias selecionados por regime não devem criar adjacências inexistentes no calendário.</w:t>
            </w:r>
          </w:p>
        </w:tc>
      </w:tr>
      <w:tr w:rsidR="00DB072F" w14:paraId="1309B86D" w14:textId="77777777">
        <w:trPr>
          <w:cantSplit/>
        </w:trPr>
        <w:tc>
          <w:tcPr>
            <w:tcW w:w="2200" w:type="dxa"/>
            <w:vAlign w:val="center"/>
          </w:tcPr>
          <w:p w14:paraId="6136042E" w14:textId="77777777" w:rsidR="00DB072F" w:rsidRDefault="0053141D">
            <w:pPr>
              <w:pStyle w:val="Reviso2Table"/>
            </w:pPr>
            <w:r>
              <w:t>Relação com o TCC</w:t>
            </w:r>
          </w:p>
        </w:tc>
        <w:tc>
          <w:tcPr>
            <w:tcW w:w="6872" w:type="dxa"/>
            <w:vAlign w:val="center"/>
          </w:tcPr>
          <w:p w14:paraId="704B47AD" w14:textId="77777777" w:rsidR="00DB072F" w:rsidRDefault="0053141D">
            <w:pPr>
              <w:pStyle w:val="Reviso2Table"/>
            </w:pPr>
            <w:r>
              <w:t>Fundamenta o exame conjunto de cobertura e independência do VaR, complementando Kupiec (1995), sem utilizar p-valores como ranking ou validação automática do ES.</w:t>
            </w:r>
          </w:p>
        </w:tc>
      </w:tr>
    </w:tbl>
    <w:p w14:paraId="76F4FBBF" w14:textId="77777777" w:rsidR="00DB072F" w:rsidRDefault="0053141D">
      <w:pPr>
        <w:pStyle w:val="Reviso2Source"/>
      </w:pPr>
      <w:r>
        <w:t>Fonte: síntese do autor, limitada ao material descrito no campo Alcance da leitura.</w:t>
      </w:r>
    </w:p>
    <w:p w14:paraId="2F6AB989" w14:textId="77777777" w:rsidR="00DB072F" w:rsidRDefault="0053141D">
      <w:pPr>
        <w:pStyle w:val="Reviso2Chapter"/>
      </w:pPr>
      <w:bookmarkStart w:id="54" w:name="_Toc243470633"/>
      <w:r>
        <w:lastRenderedPageBreak/>
        <w:t>APÊNDICE J — SÍNTESE DE FISCHER E KRAUSS (2018)</w:t>
      </w:r>
      <w:bookmarkEnd w:id="54"/>
    </w:p>
    <w:tbl>
      <w:tblPr>
        <w:tblW w:w="907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200"/>
        <w:gridCol w:w="6872"/>
      </w:tblGrid>
      <w:tr w:rsidR="00DB072F" w14:paraId="4CE7075A" w14:textId="77777777">
        <w:trPr>
          <w:cantSplit/>
          <w:tblHeader/>
        </w:trPr>
        <w:tc>
          <w:tcPr>
            <w:tcW w:w="2200" w:type="dxa"/>
            <w:shd w:val="clear" w:color="auto" w:fill="E7E6E6"/>
            <w:vAlign w:val="center"/>
          </w:tcPr>
          <w:p w14:paraId="2C5C8D05" w14:textId="77777777" w:rsidR="00DB072F" w:rsidRDefault="0053141D">
            <w:pPr>
              <w:pStyle w:val="Reviso2Table"/>
            </w:pPr>
            <w:r>
              <w:rPr>
                <w:b/>
              </w:rPr>
              <w:t>Campo</w:t>
            </w:r>
          </w:p>
        </w:tc>
        <w:tc>
          <w:tcPr>
            <w:tcW w:w="6872" w:type="dxa"/>
            <w:shd w:val="clear" w:color="auto" w:fill="E7E6E6"/>
            <w:vAlign w:val="center"/>
          </w:tcPr>
          <w:p w14:paraId="759AC0E5" w14:textId="77777777" w:rsidR="00DB072F" w:rsidRDefault="0053141D">
            <w:pPr>
              <w:pStyle w:val="Reviso2Table"/>
            </w:pPr>
            <w:r>
              <w:rPr>
                <w:b/>
              </w:rPr>
              <w:t>Síntese e delimitação da consulta</w:t>
            </w:r>
          </w:p>
        </w:tc>
      </w:tr>
      <w:tr w:rsidR="00DB072F" w14:paraId="22DAE94B" w14:textId="77777777">
        <w:trPr>
          <w:cantSplit/>
        </w:trPr>
        <w:tc>
          <w:tcPr>
            <w:tcW w:w="2200" w:type="dxa"/>
            <w:vAlign w:val="center"/>
          </w:tcPr>
          <w:p w14:paraId="5611F2C4" w14:textId="77777777" w:rsidR="00DB072F" w:rsidRDefault="0053141D">
            <w:pPr>
              <w:pStyle w:val="Reviso2Table"/>
            </w:pPr>
            <w:r>
              <w:t>Referência</w:t>
            </w:r>
          </w:p>
        </w:tc>
        <w:tc>
          <w:tcPr>
            <w:tcW w:w="6872" w:type="dxa"/>
            <w:vAlign w:val="center"/>
          </w:tcPr>
          <w:p w14:paraId="099B38B3" w14:textId="77777777" w:rsidR="00DB072F" w:rsidRDefault="0053141D">
            <w:pPr>
              <w:pStyle w:val="Reviso2Table"/>
            </w:pPr>
            <w:r>
              <w:t>FISCHER, Thomas; KRAUSS, Christopher. Deep learning with long short-term memory networks for financial market predictions. European Journal of Operational Research, v. 270, n. 2, p. 654–669, 2018.</w:t>
            </w:r>
          </w:p>
        </w:tc>
      </w:tr>
      <w:tr w:rsidR="00DB072F" w14:paraId="4D887951" w14:textId="77777777">
        <w:trPr>
          <w:cantSplit/>
        </w:trPr>
        <w:tc>
          <w:tcPr>
            <w:tcW w:w="2200" w:type="dxa"/>
            <w:shd w:val="clear" w:color="auto" w:fill="F7F7F7"/>
            <w:vAlign w:val="center"/>
          </w:tcPr>
          <w:p w14:paraId="4334B9EA" w14:textId="77777777" w:rsidR="00DB072F" w:rsidRDefault="0053141D">
            <w:pPr>
              <w:pStyle w:val="Reviso2Table"/>
            </w:pPr>
            <w:r>
              <w:t>Fonte consultada</w:t>
            </w:r>
          </w:p>
        </w:tc>
        <w:tc>
          <w:tcPr>
            <w:tcW w:w="6872" w:type="dxa"/>
            <w:shd w:val="clear" w:color="auto" w:fill="F7F7F7"/>
            <w:vAlign w:val="center"/>
          </w:tcPr>
          <w:p w14:paraId="58CD0D6A" w14:textId="77777777" w:rsidR="00DB072F" w:rsidRDefault="0053141D">
            <w:pPr>
              <w:pStyle w:val="Reviso2Table"/>
            </w:pPr>
            <w:r>
              <w:t>https://cris.fau.de/publications/208534319/</w:t>
            </w:r>
          </w:p>
        </w:tc>
      </w:tr>
      <w:tr w:rsidR="00DB072F" w14:paraId="08ACA917" w14:textId="77777777">
        <w:trPr>
          <w:cantSplit/>
        </w:trPr>
        <w:tc>
          <w:tcPr>
            <w:tcW w:w="2200" w:type="dxa"/>
            <w:vAlign w:val="center"/>
          </w:tcPr>
          <w:p w14:paraId="07A30227" w14:textId="77777777" w:rsidR="00DB072F" w:rsidRDefault="0053141D">
            <w:pPr>
              <w:pStyle w:val="Reviso2Table"/>
            </w:pPr>
            <w:r>
              <w:t>Alcance da leitura</w:t>
            </w:r>
          </w:p>
        </w:tc>
        <w:tc>
          <w:tcPr>
            <w:tcW w:w="6872" w:type="dxa"/>
            <w:vAlign w:val="center"/>
          </w:tcPr>
          <w:p w14:paraId="139650F6" w14:textId="77777777" w:rsidR="00DB072F" w:rsidRDefault="0053141D">
            <w:pPr>
              <w:pStyle w:val="Reviso2Table"/>
            </w:pPr>
            <w:r>
              <w:t>Registro institucional primário e resumo indexado da versão dos autores; texto do editor integral não acessível. Síntese limitada à previsão direcional S&amp;P 500, sem alegar validação VaR/ES.</w:t>
            </w:r>
          </w:p>
        </w:tc>
      </w:tr>
      <w:tr w:rsidR="00DB072F" w14:paraId="7C07961F" w14:textId="77777777">
        <w:trPr>
          <w:cantSplit/>
        </w:trPr>
        <w:tc>
          <w:tcPr>
            <w:tcW w:w="2200" w:type="dxa"/>
            <w:shd w:val="clear" w:color="auto" w:fill="F7F7F7"/>
            <w:vAlign w:val="center"/>
          </w:tcPr>
          <w:p w14:paraId="62DF81EA" w14:textId="77777777" w:rsidR="00DB072F" w:rsidRDefault="0053141D">
            <w:pPr>
              <w:pStyle w:val="Reviso2Table"/>
            </w:pPr>
            <w:r>
              <w:t>Questão do estudo</w:t>
            </w:r>
          </w:p>
        </w:tc>
        <w:tc>
          <w:tcPr>
            <w:tcW w:w="6872" w:type="dxa"/>
            <w:shd w:val="clear" w:color="auto" w:fill="F7F7F7"/>
            <w:vAlign w:val="center"/>
          </w:tcPr>
          <w:p w14:paraId="3387CE71" w14:textId="77777777" w:rsidR="00DB072F" w:rsidRDefault="0053141D">
            <w:pPr>
              <w:pStyle w:val="Reviso2Table"/>
            </w:pPr>
            <w:r>
              <w:t>Como redes LSTM se comportam em uma tarefa de previsão direcional de retornos acionários?</w:t>
            </w:r>
          </w:p>
        </w:tc>
      </w:tr>
      <w:tr w:rsidR="00DB072F" w14:paraId="5A83AE33" w14:textId="77777777">
        <w:trPr>
          <w:cantSplit/>
        </w:trPr>
        <w:tc>
          <w:tcPr>
            <w:tcW w:w="2200" w:type="dxa"/>
            <w:vAlign w:val="center"/>
          </w:tcPr>
          <w:p w14:paraId="4A1711A1" w14:textId="77777777" w:rsidR="00DB072F" w:rsidRDefault="0053141D">
            <w:pPr>
              <w:pStyle w:val="Reviso2Table"/>
            </w:pPr>
            <w:r>
              <w:t>Contribuição identificada</w:t>
            </w:r>
          </w:p>
        </w:tc>
        <w:tc>
          <w:tcPr>
            <w:tcW w:w="6872" w:type="dxa"/>
            <w:vAlign w:val="center"/>
          </w:tcPr>
          <w:p w14:paraId="720C3CC1" w14:textId="77777777" w:rsidR="00DB072F" w:rsidRDefault="0053141D">
            <w:pPr>
              <w:pStyle w:val="Reviso2Table"/>
            </w:pPr>
            <w:r>
              <w:t>O estudo examina previsão direcional de ações do S&amp;P 500 em 1992–2015 e compara LSTM com outras técnicas de aprendizado. Seu resultado motiva investigar dependências temporais por redes recorrentes, respeitando o mercado e o alvo analisados.</w:t>
            </w:r>
          </w:p>
        </w:tc>
      </w:tr>
      <w:tr w:rsidR="00DB072F" w14:paraId="7C43D1CE" w14:textId="77777777">
        <w:trPr>
          <w:cantSplit/>
        </w:trPr>
        <w:tc>
          <w:tcPr>
            <w:tcW w:w="2200" w:type="dxa"/>
            <w:shd w:val="clear" w:color="auto" w:fill="F7F7F7"/>
            <w:vAlign w:val="center"/>
          </w:tcPr>
          <w:p w14:paraId="08BEBE8F" w14:textId="77777777" w:rsidR="00DB072F" w:rsidRDefault="0053141D">
            <w:pPr>
              <w:pStyle w:val="Reviso2Table"/>
            </w:pPr>
            <w:r>
              <w:t>Limites de interpretação</w:t>
            </w:r>
          </w:p>
        </w:tc>
        <w:tc>
          <w:tcPr>
            <w:tcW w:w="6872" w:type="dxa"/>
            <w:shd w:val="clear" w:color="auto" w:fill="F7F7F7"/>
            <w:vAlign w:val="center"/>
          </w:tcPr>
          <w:p w14:paraId="18A13A3C" w14:textId="77777777" w:rsidR="00DB072F" w:rsidRDefault="0053141D">
            <w:pPr>
              <w:pStyle w:val="Reviso2Table"/>
            </w:pPr>
            <w:r>
              <w:t>A leitura se limita ao registro institucional e ao resumo da versão dos autores. Previsão de direção não equivale a volatilidade, VaR ou ES. O artigo não demonstra que a codificação one-hot de regimes seja a solução predominante nem valida a configuração desta carteira.</w:t>
            </w:r>
          </w:p>
        </w:tc>
      </w:tr>
      <w:tr w:rsidR="00DB072F" w14:paraId="6E95834D" w14:textId="77777777">
        <w:trPr>
          <w:cantSplit/>
        </w:trPr>
        <w:tc>
          <w:tcPr>
            <w:tcW w:w="2200" w:type="dxa"/>
            <w:vAlign w:val="center"/>
          </w:tcPr>
          <w:p w14:paraId="50D4CD03" w14:textId="77777777" w:rsidR="00DB072F" w:rsidRDefault="0053141D">
            <w:pPr>
              <w:pStyle w:val="Reviso2Table"/>
            </w:pPr>
            <w:r>
              <w:t>Relação com o TCC</w:t>
            </w:r>
          </w:p>
        </w:tc>
        <w:tc>
          <w:tcPr>
            <w:tcW w:w="6872" w:type="dxa"/>
            <w:vAlign w:val="center"/>
          </w:tcPr>
          <w:p w14:paraId="0EC9CBA0" w14:textId="77777777" w:rsidR="00DB072F" w:rsidRDefault="0053141D">
            <w:pPr>
              <w:pStyle w:val="Reviso2Table"/>
            </w:pPr>
            <w:r>
              <w:t>Apoia o interesse pelas LSTM como modelo financeiro, enquanto a calibração da cauda e o valor adicional do HMM permanecem perguntas empíricas do TCC.</w:t>
            </w:r>
          </w:p>
        </w:tc>
      </w:tr>
    </w:tbl>
    <w:p w14:paraId="78DB1A6E" w14:textId="77777777" w:rsidR="00DB072F" w:rsidRDefault="0053141D">
      <w:pPr>
        <w:pStyle w:val="Reviso2Source"/>
      </w:pPr>
      <w:r>
        <w:t>Fonte: síntese do autor, limitada ao material descrito no campo Alcance da leitura.</w:t>
      </w:r>
    </w:p>
    <w:sectPr w:rsidR="00DB072F" w:rsidSect="00967281">
      <w:headerReference w:type="default" r:id="rId8"/>
      <w:pgSz w:w="11906" w:h="16838"/>
      <w:pgMar w:top="1701" w:right="1134" w:bottom="1134" w:left="1701" w:header="113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22ACA" w14:textId="77777777" w:rsidR="00D2386F" w:rsidRDefault="00D2386F" w:rsidP="00CA63E7">
      <w:pPr>
        <w:spacing w:after="0" w:line="240" w:lineRule="auto"/>
      </w:pPr>
      <w:r>
        <w:separator/>
      </w:r>
    </w:p>
  </w:endnote>
  <w:endnote w:type="continuationSeparator" w:id="0">
    <w:p w14:paraId="661C50D7" w14:textId="77777777" w:rsidR="00D2386F" w:rsidRDefault="00D2386F" w:rsidP="00CA6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AFA3E" w14:textId="77777777" w:rsidR="00D2386F" w:rsidRDefault="00D2386F" w:rsidP="00CA63E7">
      <w:pPr>
        <w:spacing w:after="0" w:line="240" w:lineRule="auto"/>
      </w:pPr>
      <w:r>
        <w:separator/>
      </w:r>
    </w:p>
  </w:footnote>
  <w:footnote w:type="continuationSeparator" w:id="0">
    <w:p w14:paraId="2E287AAC" w14:textId="77777777" w:rsidR="00D2386F" w:rsidRDefault="00D2386F" w:rsidP="00CA63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9561345"/>
      <w:docPartObj>
        <w:docPartGallery w:val="Page Numbers (Top of Page)"/>
        <w:docPartUnique/>
      </w:docPartObj>
    </w:sdtPr>
    <w:sdtEndPr>
      <w:rPr>
        <w:noProof/>
      </w:rPr>
    </w:sdtEndPr>
    <w:sdtContent>
      <w:p w14:paraId="40E50504" w14:textId="77777777" w:rsidR="00967281" w:rsidRDefault="0096728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CFE34C9" w14:textId="77777777" w:rsidR="000028E5" w:rsidRPr="00410C90" w:rsidRDefault="000028E5">
    <w:pPr>
      <w:pStyle w:val="Header"/>
      <w:jc w:val="right"/>
      <w:rPr>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511DC"/>
    <w:multiLevelType w:val="hybridMultilevel"/>
    <w:tmpl w:val="2EA01D2E"/>
    <w:lvl w:ilvl="0" w:tplc="70D06138">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 w15:restartNumberingAfterBreak="0">
    <w:nsid w:val="6FB71D68"/>
    <w:multiLevelType w:val="multilevel"/>
    <w:tmpl w:val="AA1C6B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74FE7AA1"/>
    <w:multiLevelType w:val="hybridMultilevel"/>
    <w:tmpl w:val="1F6E4460"/>
    <w:lvl w:ilvl="0" w:tplc="911A173E">
      <w:start w:val="1"/>
      <w:numFmt w:val="lowerLetter"/>
      <w:lvlText w:val="%1)"/>
      <w:lvlJc w:val="left"/>
      <w:pPr>
        <w:ind w:left="1776" w:hanging="360"/>
      </w:pPr>
      <w:rPr>
        <w:rFonts w:ascii="Times New Roman" w:eastAsia="Calibri" w:hAnsi="Times New Roman" w:cs="Times New Roman"/>
      </w:rPr>
    </w:lvl>
    <w:lvl w:ilvl="1" w:tplc="04160019">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num w:numId="1" w16cid:durableId="567113003">
    <w:abstractNumId w:val="2"/>
  </w:num>
  <w:num w:numId="2" w16cid:durableId="557861352">
    <w:abstractNumId w:val="1"/>
  </w:num>
  <w:num w:numId="3" w16cid:durableId="482820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pt-BR" w:vendorID="64" w:dllVersion="0" w:nlCheck="1" w:checkStyle="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3E7"/>
    <w:rsid w:val="000028E5"/>
    <w:rsid w:val="00003A90"/>
    <w:rsid w:val="00012E7C"/>
    <w:rsid w:val="0001512A"/>
    <w:rsid w:val="00016447"/>
    <w:rsid w:val="00021570"/>
    <w:rsid w:val="00047541"/>
    <w:rsid w:val="00051190"/>
    <w:rsid w:val="000520B0"/>
    <w:rsid w:val="0005404F"/>
    <w:rsid w:val="00074DF6"/>
    <w:rsid w:val="000758E7"/>
    <w:rsid w:val="0009434E"/>
    <w:rsid w:val="00094AC2"/>
    <w:rsid w:val="000A6F84"/>
    <w:rsid w:val="000B76AD"/>
    <w:rsid w:val="000C0D08"/>
    <w:rsid w:val="000C201A"/>
    <w:rsid w:val="000C44EA"/>
    <w:rsid w:val="000D020E"/>
    <w:rsid w:val="000D4E4C"/>
    <w:rsid w:val="000E08E6"/>
    <w:rsid w:val="000E0A60"/>
    <w:rsid w:val="000F023A"/>
    <w:rsid w:val="000F6078"/>
    <w:rsid w:val="001042B8"/>
    <w:rsid w:val="00105C48"/>
    <w:rsid w:val="00143385"/>
    <w:rsid w:val="00144482"/>
    <w:rsid w:val="00154150"/>
    <w:rsid w:val="001565C7"/>
    <w:rsid w:val="00170023"/>
    <w:rsid w:val="001719E7"/>
    <w:rsid w:val="00171AC4"/>
    <w:rsid w:val="001733C1"/>
    <w:rsid w:val="001741FD"/>
    <w:rsid w:val="00176153"/>
    <w:rsid w:val="001920BD"/>
    <w:rsid w:val="001921FA"/>
    <w:rsid w:val="001A22D1"/>
    <w:rsid w:val="001C1A9A"/>
    <w:rsid w:val="001C2731"/>
    <w:rsid w:val="001C4206"/>
    <w:rsid w:val="001C5B8B"/>
    <w:rsid w:val="001C6C71"/>
    <w:rsid w:val="001C74C5"/>
    <w:rsid w:val="001D15FC"/>
    <w:rsid w:val="001D377D"/>
    <w:rsid w:val="001D74BD"/>
    <w:rsid w:val="001E4F5F"/>
    <w:rsid w:val="001E5DD3"/>
    <w:rsid w:val="00202A77"/>
    <w:rsid w:val="00213AC5"/>
    <w:rsid w:val="00220238"/>
    <w:rsid w:val="002212E8"/>
    <w:rsid w:val="00223D48"/>
    <w:rsid w:val="0024270E"/>
    <w:rsid w:val="00244EE3"/>
    <w:rsid w:val="00244FEB"/>
    <w:rsid w:val="002454C8"/>
    <w:rsid w:val="00250970"/>
    <w:rsid w:val="002559A1"/>
    <w:rsid w:val="0026177B"/>
    <w:rsid w:val="00274417"/>
    <w:rsid w:val="002761FF"/>
    <w:rsid w:val="0027681D"/>
    <w:rsid w:val="002811B9"/>
    <w:rsid w:val="0028751F"/>
    <w:rsid w:val="00292791"/>
    <w:rsid w:val="00292C31"/>
    <w:rsid w:val="002967C3"/>
    <w:rsid w:val="002A356A"/>
    <w:rsid w:val="002A3B2E"/>
    <w:rsid w:val="002B4E07"/>
    <w:rsid w:val="002C0E57"/>
    <w:rsid w:val="002C127B"/>
    <w:rsid w:val="002C5760"/>
    <w:rsid w:val="002D2B82"/>
    <w:rsid w:val="002D3032"/>
    <w:rsid w:val="002D4ED2"/>
    <w:rsid w:val="002E1015"/>
    <w:rsid w:val="002E14F8"/>
    <w:rsid w:val="002E3626"/>
    <w:rsid w:val="002E4548"/>
    <w:rsid w:val="002F2680"/>
    <w:rsid w:val="002F61A5"/>
    <w:rsid w:val="003002FD"/>
    <w:rsid w:val="00300C99"/>
    <w:rsid w:val="003069BA"/>
    <w:rsid w:val="003130FE"/>
    <w:rsid w:val="00313906"/>
    <w:rsid w:val="00314CF6"/>
    <w:rsid w:val="00332ABF"/>
    <w:rsid w:val="00334363"/>
    <w:rsid w:val="00351DA9"/>
    <w:rsid w:val="0036719C"/>
    <w:rsid w:val="0038248E"/>
    <w:rsid w:val="00387721"/>
    <w:rsid w:val="003C20AE"/>
    <w:rsid w:val="003D1E75"/>
    <w:rsid w:val="003D4511"/>
    <w:rsid w:val="003D6C44"/>
    <w:rsid w:val="003E0910"/>
    <w:rsid w:val="003E1F9D"/>
    <w:rsid w:val="003E58B3"/>
    <w:rsid w:val="003F58D4"/>
    <w:rsid w:val="004041EE"/>
    <w:rsid w:val="004072BD"/>
    <w:rsid w:val="00410C90"/>
    <w:rsid w:val="00411104"/>
    <w:rsid w:val="00414FEF"/>
    <w:rsid w:val="00436D27"/>
    <w:rsid w:val="00437144"/>
    <w:rsid w:val="004403D1"/>
    <w:rsid w:val="00442A1A"/>
    <w:rsid w:val="004569CD"/>
    <w:rsid w:val="004631F2"/>
    <w:rsid w:val="00471986"/>
    <w:rsid w:val="00471E0B"/>
    <w:rsid w:val="00473D2F"/>
    <w:rsid w:val="0048334C"/>
    <w:rsid w:val="00487A7E"/>
    <w:rsid w:val="004952D7"/>
    <w:rsid w:val="004A029E"/>
    <w:rsid w:val="004A134A"/>
    <w:rsid w:val="004A669A"/>
    <w:rsid w:val="004A7BC8"/>
    <w:rsid w:val="004B0FA2"/>
    <w:rsid w:val="004B4BA5"/>
    <w:rsid w:val="004C349A"/>
    <w:rsid w:val="004C7073"/>
    <w:rsid w:val="004E2053"/>
    <w:rsid w:val="004F596B"/>
    <w:rsid w:val="004F72A1"/>
    <w:rsid w:val="00511A93"/>
    <w:rsid w:val="00514F6F"/>
    <w:rsid w:val="0051507C"/>
    <w:rsid w:val="005238C1"/>
    <w:rsid w:val="00527E9D"/>
    <w:rsid w:val="0053141D"/>
    <w:rsid w:val="00541C4B"/>
    <w:rsid w:val="0054592C"/>
    <w:rsid w:val="00557E53"/>
    <w:rsid w:val="00566DB3"/>
    <w:rsid w:val="00571AFD"/>
    <w:rsid w:val="0057515F"/>
    <w:rsid w:val="005810C6"/>
    <w:rsid w:val="0058497F"/>
    <w:rsid w:val="00591F5A"/>
    <w:rsid w:val="0059483D"/>
    <w:rsid w:val="005B6798"/>
    <w:rsid w:val="005B7D69"/>
    <w:rsid w:val="005C5B77"/>
    <w:rsid w:val="005D3B3E"/>
    <w:rsid w:val="005E0481"/>
    <w:rsid w:val="005E5511"/>
    <w:rsid w:val="005F09B3"/>
    <w:rsid w:val="00600533"/>
    <w:rsid w:val="00601279"/>
    <w:rsid w:val="006131DD"/>
    <w:rsid w:val="00621064"/>
    <w:rsid w:val="00626D26"/>
    <w:rsid w:val="0062788D"/>
    <w:rsid w:val="006431B8"/>
    <w:rsid w:val="00661374"/>
    <w:rsid w:val="00661974"/>
    <w:rsid w:val="006712DB"/>
    <w:rsid w:val="00680C3D"/>
    <w:rsid w:val="00693D3B"/>
    <w:rsid w:val="00696BC9"/>
    <w:rsid w:val="006A1815"/>
    <w:rsid w:val="006A546F"/>
    <w:rsid w:val="006A756E"/>
    <w:rsid w:val="006B7179"/>
    <w:rsid w:val="006C09F0"/>
    <w:rsid w:val="006D06A6"/>
    <w:rsid w:val="006D655C"/>
    <w:rsid w:val="006E275E"/>
    <w:rsid w:val="006E3F38"/>
    <w:rsid w:val="00703FA7"/>
    <w:rsid w:val="00712F53"/>
    <w:rsid w:val="00725185"/>
    <w:rsid w:val="00730385"/>
    <w:rsid w:val="00736BDF"/>
    <w:rsid w:val="007423E1"/>
    <w:rsid w:val="0074393E"/>
    <w:rsid w:val="00752532"/>
    <w:rsid w:val="007578D6"/>
    <w:rsid w:val="0076029B"/>
    <w:rsid w:val="00770550"/>
    <w:rsid w:val="00786C41"/>
    <w:rsid w:val="00796D66"/>
    <w:rsid w:val="007A1312"/>
    <w:rsid w:val="007A2A77"/>
    <w:rsid w:val="007A2D1E"/>
    <w:rsid w:val="007B03B6"/>
    <w:rsid w:val="007B3AF6"/>
    <w:rsid w:val="007B68DF"/>
    <w:rsid w:val="007C0826"/>
    <w:rsid w:val="007C0E26"/>
    <w:rsid w:val="007C0F94"/>
    <w:rsid w:val="007D6E93"/>
    <w:rsid w:val="007E52F1"/>
    <w:rsid w:val="007F46EC"/>
    <w:rsid w:val="007F5625"/>
    <w:rsid w:val="007F6553"/>
    <w:rsid w:val="00801EE6"/>
    <w:rsid w:val="00806A5A"/>
    <w:rsid w:val="008109B2"/>
    <w:rsid w:val="00812849"/>
    <w:rsid w:val="00816E66"/>
    <w:rsid w:val="00816E9F"/>
    <w:rsid w:val="00817223"/>
    <w:rsid w:val="00826705"/>
    <w:rsid w:val="00832052"/>
    <w:rsid w:val="00832EDB"/>
    <w:rsid w:val="0083317A"/>
    <w:rsid w:val="008578B9"/>
    <w:rsid w:val="00863505"/>
    <w:rsid w:val="00867E97"/>
    <w:rsid w:val="00870C5E"/>
    <w:rsid w:val="008732BD"/>
    <w:rsid w:val="00875F1D"/>
    <w:rsid w:val="00883EED"/>
    <w:rsid w:val="00886ECD"/>
    <w:rsid w:val="00892408"/>
    <w:rsid w:val="00895EDB"/>
    <w:rsid w:val="008A5D90"/>
    <w:rsid w:val="008A6EB0"/>
    <w:rsid w:val="008A6F15"/>
    <w:rsid w:val="008C3C8E"/>
    <w:rsid w:val="008C3F9C"/>
    <w:rsid w:val="008C69E0"/>
    <w:rsid w:val="008D07D1"/>
    <w:rsid w:val="008D24A7"/>
    <w:rsid w:val="008D51AF"/>
    <w:rsid w:val="008E142A"/>
    <w:rsid w:val="008E3383"/>
    <w:rsid w:val="0090079D"/>
    <w:rsid w:val="00907AE0"/>
    <w:rsid w:val="00910083"/>
    <w:rsid w:val="009106C0"/>
    <w:rsid w:val="009173A3"/>
    <w:rsid w:val="00917A38"/>
    <w:rsid w:val="00920FEE"/>
    <w:rsid w:val="00922495"/>
    <w:rsid w:val="009241A3"/>
    <w:rsid w:val="00927534"/>
    <w:rsid w:val="00931902"/>
    <w:rsid w:val="00941C0F"/>
    <w:rsid w:val="00943856"/>
    <w:rsid w:val="00945B7E"/>
    <w:rsid w:val="00951018"/>
    <w:rsid w:val="00953571"/>
    <w:rsid w:val="009651B2"/>
    <w:rsid w:val="00967281"/>
    <w:rsid w:val="009716DE"/>
    <w:rsid w:val="00971877"/>
    <w:rsid w:val="00972A3A"/>
    <w:rsid w:val="009775DA"/>
    <w:rsid w:val="00981A71"/>
    <w:rsid w:val="00987651"/>
    <w:rsid w:val="009954E6"/>
    <w:rsid w:val="009A3EAA"/>
    <w:rsid w:val="009C2251"/>
    <w:rsid w:val="009F4CF8"/>
    <w:rsid w:val="009F5857"/>
    <w:rsid w:val="00A223F9"/>
    <w:rsid w:val="00A2520F"/>
    <w:rsid w:val="00A26BD4"/>
    <w:rsid w:val="00A34AF1"/>
    <w:rsid w:val="00A36D5D"/>
    <w:rsid w:val="00A37012"/>
    <w:rsid w:val="00A5205E"/>
    <w:rsid w:val="00A56E37"/>
    <w:rsid w:val="00A64E14"/>
    <w:rsid w:val="00A72CAE"/>
    <w:rsid w:val="00A76B22"/>
    <w:rsid w:val="00A82BDF"/>
    <w:rsid w:val="00A8502E"/>
    <w:rsid w:val="00A97F83"/>
    <w:rsid w:val="00AA2AA9"/>
    <w:rsid w:val="00AB02C3"/>
    <w:rsid w:val="00AB338C"/>
    <w:rsid w:val="00AC6F96"/>
    <w:rsid w:val="00AD3224"/>
    <w:rsid w:val="00AD6449"/>
    <w:rsid w:val="00AD7253"/>
    <w:rsid w:val="00AE0499"/>
    <w:rsid w:val="00AE2770"/>
    <w:rsid w:val="00AE439E"/>
    <w:rsid w:val="00AE731E"/>
    <w:rsid w:val="00AE7F0D"/>
    <w:rsid w:val="00AF6332"/>
    <w:rsid w:val="00B00F04"/>
    <w:rsid w:val="00B05769"/>
    <w:rsid w:val="00B1158E"/>
    <w:rsid w:val="00B269C4"/>
    <w:rsid w:val="00B30BDE"/>
    <w:rsid w:val="00B444A2"/>
    <w:rsid w:val="00B513AB"/>
    <w:rsid w:val="00B53B3A"/>
    <w:rsid w:val="00B56BB3"/>
    <w:rsid w:val="00B57DF9"/>
    <w:rsid w:val="00B65A0D"/>
    <w:rsid w:val="00B71A78"/>
    <w:rsid w:val="00B7456D"/>
    <w:rsid w:val="00B808FA"/>
    <w:rsid w:val="00B859B0"/>
    <w:rsid w:val="00B8714B"/>
    <w:rsid w:val="00B875C8"/>
    <w:rsid w:val="00B96F3D"/>
    <w:rsid w:val="00B9722D"/>
    <w:rsid w:val="00B97930"/>
    <w:rsid w:val="00BC081D"/>
    <w:rsid w:val="00BC2359"/>
    <w:rsid w:val="00BC464C"/>
    <w:rsid w:val="00BD2BBD"/>
    <w:rsid w:val="00BE01B0"/>
    <w:rsid w:val="00BE153C"/>
    <w:rsid w:val="00BE39EE"/>
    <w:rsid w:val="00BE6169"/>
    <w:rsid w:val="00BE6192"/>
    <w:rsid w:val="00BE68C9"/>
    <w:rsid w:val="00BE727E"/>
    <w:rsid w:val="00BF41EE"/>
    <w:rsid w:val="00C050C4"/>
    <w:rsid w:val="00C05D10"/>
    <w:rsid w:val="00C12662"/>
    <w:rsid w:val="00C12D45"/>
    <w:rsid w:val="00C13875"/>
    <w:rsid w:val="00C23199"/>
    <w:rsid w:val="00C25045"/>
    <w:rsid w:val="00C36225"/>
    <w:rsid w:val="00C375D2"/>
    <w:rsid w:val="00C47396"/>
    <w:rsid w:val="00C47F71"/>
    <w:rsid w:val="00C51138"/>
    <w:rsid w:val="00C528AA"/>
    <w:rsid w:val="00C5592E"/>
    <w:rsid w:val="00C64569"/>
    <w:rsid w:val="00C654B2"/>
    <w:rsid w:val="00C67108"/>
    <w:rsid w:val="00C70030"/>
    <w:rsid w:val="00C72790"/>
    <w:rsid w:val="00C75AD2"/>
    <w:rsid w:val="00C76A6C"/>
    <w:rsid w:val="00C84719"/>
    <w:rsid w:val="00C8521B"/>
    <w:rsid w:val="00CA63E7"/>
    <w:rsid w:val="00CB36CE"/>
    <w:rsid w:val="00CC04A7"/>
    <w:rsid w:val="00CC0745"/>
    <w:rsid w:val="00CD22E7"/>
    <w:rsid w:val="00CD4DB8"/>
    <w:rsid w:val="00CD5AF1"/>
    <w:rsid w:val="00CF06A2"/>
    <w:rsid w:val="00D17F9B"/>
    <w:rsid w:val="00D2007A"/>
    <w:rsid w:val="00D22AEB"/>
    <w:rsid w:val="00D2386F"/>
    <w:rsid w:val="00D30D94"/>
    <w:rsid w:val="00D31541"/>
    <w:rsid w:val="00D349BD"/>
    <w:rsid w:val="00D437AE"/>
    <w:rsid w:val="00D61376"/>
    <w:rsid w:val="00D7348F"/>
    <w:rsid w:val="00D80999"/>
    <w:rsid w:val="00D81BD3"/>
    <w:rsid w:val="00D81CE2"/>
    <w:rsid w:val="00D877D0"/>
    <w:rsid w:val="00D94A17"/>
    <w:rsid w:val="00D9760D"/>
    <w:rsid w:val="00DA15A6"/>
    <w:rsid w:val="00DA1AB4"/>
    <w:rsid w:val="00DA302A"/>
    <w:rsid w:val="00DA365C"/>
    <w:rsid w:val="00DA72BE"/>
    <w:rsid w:val="00DB072F"/>
    <w:rsid w:val="00DC17C5"/>
    <w:rsid w:val="00DC4BBA"/>
    <w:rsid w:val="00DC50B9"/>
    <w:rsid w:val="00DC605A"/>
    <w:rsid w:val="00DD60F3"/>
    <w:rsid w:val="00DE60F0"/>
    <w:rsid w:val="00DF2601"/>
    <w:rsid w:val="00E16D21"/>
    <w:rsid w:val="00E213BB"/>
    <w:rsid w:val="00E26EE5"/>
    <w:rsid w:val="00E34366"/>
    <w:rsid w:val="00E460D7"/>
    <w:rsid w:val="00E47ACB"/>
    <w:rsid w:val="00E47E26"/>
    <w:rsid w:val="00E553F4"/>
    <w:rsid w:val="00E7330E"/>
    <w:rsid w:val="00E774F8"/>
    <w:rsid w:val="00E82937"/>
    <w:rsid w:val="00E8749D"/>
    <w:rsid w:val="00E95AE5"/>
    <w:rsid w:val="00EA4966"/>
    <w:rsid w:val="00EA6C04"/>
    <w:rsid w:val="00EB0F4F"/>
    <w:rsid w:val="00ED20CB"/>
    <w:rsid w:val="00EE0EA2"/>
    <w:rsid w:val="00EF01DD"/>
    <w:rsid w:val="00EF2AA2"/>
    <w:rsid w:val="00F030D6"/>
    <w:rsid w:val="00F052CA"/>
    <w:rsid w:val="00F166C5"/>
    <w:rsid w:val="00F302E5"/>
    <w:rsid w:val="00F31EF1"/>
    <w:rsid w:val="00F351FC"/>
    <w:rsid w:val="00F365FD"/>
    <w:rsid w:val="00F370DD"/>
    <w:rsid w:val="00F41775"/>
    <w:rsid w:val="00F4515C"/>
    <w:rsid w:val="00F47BD9"/>
    <w:rsid w:val="00F50A1C"/>
    <w:rsid w:val="00F550AC"/>
    <w:rsid w:val="00F60DB6"/>
    <w:rsid w:val="00F64ABE"/>
    <w:rsid w:val="00F666F1"/>
    <w:rsid w:val="00F70846"/>
    <w:rsid w:val="00F747E2"/>
    <w:rsid w:val="00F76AC1"/>
    <w:rsid w:val="00F77B62"/>
    <w:rsid w:val="00F81BB4"/>
    <w:rsid w:val="00F84250"/>
    <w:rsid w:val="00F86DF5"/>
    <w:rsid w:val="00F91C86"/>
    <w:rsid w:val="00FA1DEF"/>
    <w:rsid w:val="00FA39E6"/>
    <w:rsid w:val="00FA4656"/>
    <w:rsid w:val="00FB274A"/>
    <w:rsid w:val="00FB3BB8"/>
    <w:rsid w:val="00FB7C53"/>
    <w:rsid w:val="00FC1979"/>
    <w:rsid w:val="00FC687A"/>
    <w:rsid w:val="00FD5F95"/>
    <w:rsid w:val="00FF455B"/>
    <w:rsid w:val="03F40FF0"/>
    <w:rsid w:val="07128855"/>
    <w:rsid w:val="0A20C419"/>
    <w:rsid w:val="20D77BEB"/>
    <w:rsid w:val="2317ED83"/>
    <w:rsid w:val="25AAED0E"/>
    <w:rsid w:val="28E28DD0"/>
    <w:rsid w:val="2BB34BF2"/>
    <w:rsid w:val="3A834724"/>
    <w:rsid w:val="4CE246EB"/>
    <w:rsid w:val="5BE1772E"/>
    <w:rsid w:val="5E11CF1C"/>
    <w:rsid w:val="6FB28870"/>
    <w:rsid w:val="714E58D1"/>
    <w:rsid w:val="7485F993"/>
    <w:rsid w:val="79596AB6"/>
    <w:rsid w:val="79C43BEA"/>
    <w:rsid w:val="7C910B7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36178D"/>
  <w15:docId w15:val="{5EB0FDE4-EDAB-46D1-AF47-3A452C6CE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5C8"/>
    <w:pPr>
      <w:spacing w:after="200" w:line="360" w:lineRule="auto"/>
    </w:pPr>
    <w:rPr>
      <w:rFonts w:ascii="Times New Roman" w:hAnsi="Times New Roman"/>
      <w:sz w:val="24"/>
      <w:szCs w:val="22"/>
      <w:lang w:eastAsia="en-US"/>
    </w:rPr>
  </w:style>
  <w:style w:type="paragraph" w:styleId="Heading1">
    <w:name w:val="heading 1"/>
    <w:aliases w:val="Título Primário"/>
    <w:basedOn w:val="Normal"/>
    <w:next w:val="Normal"/>
    <w:link w:val="Heading1Char"/>
    <w:uiPriority w:val="9"/>
    <w:qFormat/>
    <w:rsid w:val="00CA63E7"/>
    <w:pPr>
      <w:keepNext/>
      <w:keepLines/>
      <w:spacing w:before="320" w:after="320"/>
      <w:outlineLvl w:val="0"/>
    </w:pPr>
    <w:rPr>
      <w:rFonts w:eastAsia="Times New Roman"/>
      <w:b/>
      <w:bCs/>
      <w:caps/>
      <w:color w:val="000000"/>
      <w:szCs w:val="28"/>
    </w:rPr>
  </w:style>
  <w:style w:type="paragraph" w:styleId="Heading2">
    <w:name w:val="heading 2"/>
    <w:aliases w:val="Título Secundário"/>
    <w:basedOn w:val="Normal"/>
    <w:next w:val="Normal"/>
    <w:link w:val="Heading2Char"/>
    <w:uiPriority w:val="9"/>
    <w:unhideWhenUsed/>
    <w:qFormat/>
    <w:rsid w:val="00A82BDF"/>
    <w:pPr>
      <w:keepNext/>
      <w:keepLines/>
      <w:spacing w:before="320" w:after="320"/>
      <w:outlineLvl w:val="1"/>
    </w:pPr>
    <w:rPr>
      <w:rFonts w:eastAsia="Times New Roman"/>
      <w:bCs/>
      <w:caps/>
      <w:color w:val="000000"/>
      <w:szCs w:val="26"/>
    </w:rPr>
  </w:style>
  <w:style w:type="paragraph" w:styleId="Heading3">
    <w:name w:val="heading 3"/>
    <w:aliases w:val="Título Terciário"/>
    <w:basedOn w:val="Normal"/>
    <w:next w:val="Normal"/>
    <w:link w:val="Heading3Char"/>
    <w:uiPriority w:val="9"/>
    <w:unhideWhenUsed/>
    <w:qFormat/>
    <w:rsid w:val="009241A3"/>
    <w:pPr>
      <w:keepNext/>
      <w:keepLines/>
      <w:spacing w:before="320" w:after="320"/>
      <w:outlineLvl w:val="2"/>
    </w:pPr>
    <w:rPr>
      <w:rFonts w:eastAsia="Times New Roman"/>
      <w:b/>
      <w:bCs/>
      <w:color w:val="000000"/>
    </w:rPr>
  </w:style>
  <w:style w:type="paragraph" w:styleId="Heading4">
    <w:name w:val="heading 4"/>
    <w:aliases w:val="Título Quaternário"/>
    <w:basedOn w:val="Normal"/>
    <w:next w:val="Normal"/>
    <w:link w:val="Heading4Char"/>
    <w:uiPriority w:val="9"/>
    <w:unhideWhenUsed/>
    <w:qFormat/>
    <w:rsid w:val="009241A3"/>
    <w:pPr>
      <w:keepNext/>
      <w:keepLines/>
      <w:spacing w:before="320" w:after="320"/>
      <w:outlineLvl w:val="3"/>
    </w:pPr>
    <w:rPr>
      <w:rFonts w:eastAsia="Times New Roman"/>
      <w:bCs/>
      <w:iCs/>
      <w:color w:val="000000"/>
    </w:rPr>
  </w:style>
  <w:style w:type="paragraph" w:styleId="Heading5">
    <w:name w:val="heading 5"/>
    <w:aliases w:val="Título Quinário"/>
    <w:basedOn w:val="Normal"/>
    <w:next w:val="Normal"/>
    <w:link w:val="Heading5Char"/>
    <w:uiPriority w:val="9"/>
    <w:unhideWhenUsed/>
    <w:qFormat/>
    <w:rsid w:val="0001512A"/>
    <w:pPr>
      <w:keepNext/>
      <w:keepLines/>
      <w:spacing w:before="320" w:after="320"/>
      <w:outlineLvl w:val="4"/>
    </w:pPr>
    <w:rPr>
      <w:rFonts w:eastAsia="Times New Roman"/>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Primário Char"/>
    <w:basedOn w:val="DefaultParagraphFont"/>
    <w:link w:val="Heading1"/>
    <w:uiPriority w:val="9"/>
    <w:rsid w:val="00CA63E7"/>
    <w:rPr>
      <w:rFonts w:ascii="Times New Roman" w:eastAsia="Times New Roman" w:hAnsi="Times New Roman" w:cs="Times New Roman"/>
      <w:b/>
      <w:bCs/>
      <w:caps/>
      <w:color w:val="000000"/>
      <w:sz w:val="24"/>
      <w:szCs w:val="28"/>
    </w:rPr>
  </w:style>
  <w:style w:type="character" w:customStyle="1" w:styleId="Heading2Char">
    <w:name w:val="Heading 2 Char"/>
    <w:aliases w:val="Título Secundário Char"/>
    <w:basedOn w:val="DefaultParagraphFont"/>
    <w:link w:val="Heading2"/>
    <w:uiPriority w:val="9"/>
    <w:rsid w:val="00A82BDF"/>
    <w:rPr>
      <w:rFonts w:ascii="Times New Roman" w:eastAsia="Times New Roman" w:hAnsi="Times New Roman"/>
      <w:bCs/>
      <w:caps/>
      <w:color w:val="000000"/>
      <w:sz w:val="24"/>
      <w:szCs w:val="26"/>
      <w:lang w:eastAsia="en-US"/>
    </w:rPr>
  </w:style>
  <w:style w:type="character" w:customStyle="1" w:styleId="Heading3Char">
    <w:name w:val="Heading 3 Char"/>
    <w:aliases w:val="Título Terciário Char"/>
    <w:basedOn w:val="DefaultParagraphFont"/>
    <w:link w:val="Heading3"/>
    <w:uiPriority w:val="9"/>
    <w:rsid w:val="009241A3"/>
    <w:rPr>
      <w:rFonts w:ascii="Times New Roman" w:eastAsia="Times New Roman" w:hAnsi="Times New Roman"/>
      <w:b/>
      <w:bCs/>
      <w:color w:val="000000"/>
      <w:sz w:val="24"/>
      <w:szCs w:val="22"/>
      <w:lang w:eastAsia="en-US"/>
    </w:rPr>
  </w:style>
  <w:style w:type="character" w:customStyle="1" w:styleId="Heading4Char">
    <w:name w:val="Heading 4 Char"/>
    <w:aliases w:val="Título Quaternário Char"/>
    <w:basedOn w:val="DefaultParagraphFont"/>
    <w:link w:val="Heading4"/>
    <w:uiPriority w:val="9"/>
    <w:rsid w:val="009241A3"/>
    <w:rPr>
      <w:rFonts w:ascii="Times New Roman" w:eastAsia="Times New Roman" w:hAnsi="Times New Roman"/>
      <w:bCs/>
      <w:iCs/>
      <w:color w:val="000000"/>
      <w:sz w:val="24"/>
      <w:szCs w:val="22"/>
      <w:lang w:eastAsia="en-US"/>
    </w:rPr>
  </w:style>
  <w:style w:type="character" w:customStyle="1" w:styleId="Heading5Char">
    <w:name w:val="Heading 5 Char"/>
    <w:aliases w:val="Título Quinário Char"/>
    <w:basedOn w:val="DefaultParagraphFont"/>
    <w:link w:val="Heading5"/>
    <w:uiPriority w:val="9"/>
    <w:rsid w:val="0001512A"/>
    <w:rPr>
      <w:rFonts w:ascii="Times New Roman" w:eastAsia="Times New Roman" w:hAnsi="Times New Roman"/>
      <w:i/>
      <w:color w:val="000000"/>
      <w:sz w:val="24"/>
      <w:szCs w:val="22"/>
      <w:lang w:eastAsia="en-US"/>
    </w:rPr>
  </w:style>
  <w:style w:type="table" w:styleId="TableGrid">
    <w:name w:val="Table Grid"/>
    <w:basedOn w:val="TableNormal"/>
    <w:uiPriority w:val="39"/>
    <w:rsid w:val="00CA63E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extoRecuado">
    <w:name w:val="Texto Recuado"/>
    <w:next w:val="Normal"/>
    <w:qFormat/>
    <w:rsid w:val="00414FEF"/>
    <w:pPr>
      <w:ind w:left="4678"/>
      <w:jc w:val="both"/>
    </w:pPr>
    <w:rPr>
      <w:rFonts w:ascii="Times New Roman" w:hAnsi="Times New Roman"/>
      <w:sz w:val="22"/>
      <w:szCs w:val="22"/>
      <w:lang w:eastAsia="en-US"/>
    </w:rPr>
  </w:style>
  <w:style w:type="paragraph" w:styleId="Header">
    <w:name w:val="header"/>
    <w:basedOn w:val="Normal"/>
    <w:link w:val="HeaderChar"/>
    <w:uiPriority w:val="99"/>
    <w:unhideWhenUsed/>
    <w:rsid w:val="00CA63E7"/>
    <w:pPr>
      <w:tabs>
        <w:tab w:val="center" w:pos="4252"/>
        <w:tab w:val="right" w:pos="8504"/>
      </w:tabs>
      <w:spacing w:after="0" w:line="240" w:lineRule="auto"/>
    </w:pPr>
  </w:style>
  <w:style w:type="character" w:customStyle="1" w:styleId="HeaderChar">
    <w:name w:val="Header Char"/>
    <w:basedOn w:val="DefaultParagraphFont"/>
    <w:link w:val="Header"/>
    <w:uiPriority w:val="99"/>
    <w:rsid w:val="00CA63E7"/>
    <w:rPr>
      <w:rFonts w:ascii="Times New Roman" w:hAnsi="Times New Roman"/>
      <w:sz w:val="24"/>
    </w:rPr>
  </w:style>
  <w:style w:type="paragraph" w:customStyle="1" w:styleId="BancaExaminadora">
    <w:name w:val="Banca Examinadora"/>
    <w:next w:val="Normal"/>
    <w:qFormat/>
    <w:rsid w:val="00CA63E7"/>
    <w:pPr>
      <w:spacing w:after="200" w:line="360" w:lineRule="auto"/>
      <w:jc w:val="center"/>
    </w:pPr>
    <w:rPr>
      <w:rFonts w:ascii="Times New Roman" w:hAnsi="Times New Roman"/>
      <w:b/>
      <w:bCs/>
      <w:sz w:val="24"/>
      <w:szCs w:val="22"/>
      <w:lang w:eastAsia="en-US"/>
    </w:rPr>
  </w:style>
  <w:style w:type="paragraph" w:customStyle="1" w:styleId="Epgrafe">
    <w:name w:val="Epígrafe"/>
    <w:basedOn w:val="Normal"/>
    <w:next w:val="Normal"/>
    <w:qFormat/>
    <w:rsid w:val="00CA63E7"/>
    <w:pPr>
      <w:spacing w:after="0"/>
    </w:pPr>
    <w:rPr>
      <w:bCs/>
      <w:iCs/>
    </w:rPr>
  </w:style>
  <w:style w:type="paragraph" w:customStyle="1" w:styleId="ListaNumerada">
    <w:name w:val="Lista Numerada"/>
    <w:basedOn w:val="Normal"/>
    <w:qFormat/>
    <w:rsid w:val="00CA63E7"/>
    <w:pPr>
      <w:tabs>
        <w:tab w:val="right" w:leader="dot" w:pos="8505"/>
      </w:tabs>
    </w:pPr>
  </w:style>
  <w:style w:type="character" w:styleId="CommentReference">
    <w:name w:val="annotation reference"/>
    <w:basedOn w:val="DefaultParagraphFont"/>
    <w:unhideWhenUsed/>
    <w:rsid w:val="00CA63E7"/>
    <w:rPr>
      <w:sz w:val="16"/>
      <w:szCs w:val="16"/>
    </w:rPr>
  </w:style>
  <w:style w:type="paragraph" w:styleId="CommentText">
    <w:name w:val="annotation text"/>
    <w:basedOn w:val="Normal"/>
    <w:link w:val="CommentTextChar"/>
    <w:unhideWhenUsed/>
    <w:rsid w:val="00CA63E7"/>
    <w:rPr>
      <w:rFonts w:ascii="Verdana" w:hAnsi="Verdana"/>
      <w:sz w:val="20"/>
      <w:szCs w:val="20"/>
    </w:rPr>
  </w:style>
  <w:style w:type="character" w:customStyle="1" w:styleId="CommentTextChar">
    <w:name w:val="Comment Text Char"/>
    <w:basedOn w:val="DefaultParagraphFont"/>
    <w:link w:val="CommentText"/>
    <w:rsid w:val="00CA63E7"/>
    <w:rPr>
      <w:rFonts w:ascii="Verdana" w:hAnsi="Verdana"/>
      <w:sz w:val="20"/>
      <w:szCs w:val="20"/>
    </w:rPr>
  </w:style>
  <w:style w:type="paragraph" w:styleId="TOC2">
    <w:name w:val="toc 2"/>
    <w:aliases w:val="Sec Sumário Secundário"/>
    <w:basedOn w:val="Normal"/>
    <w:next w:val="Normal"/>
    <w:autoRedefine/>
    <w:uiPriority w:val="39"/>
    <w:unhideWhenUsed/>
    <w:qFormat/>
    <w:rsid w:val="00C76A6C"/>
    <w:pPr>
      <w:tabs>
        <w:tab w:val="right" w:leader="dot" w:pos="9072"/>
      </w:tabs>
      <w:spacing w:after="100" w:line="480" w:lineRule="auto"/>
    </w:pPr>
    <w:rPr>
      <w:caps/>
    </w:rPr>
  </w:style>
  <w:style w:type="paragraph" w:styleId="TOC1">
    <w:name w:val="toc 1"/>
    <w:aliases w:val="Sec Sumário Primário"/>
    <w:basedOn w:val="Normal"/>
    <w:next w:val="Normal"/>
    <w:autoRedefine/>
    <w:uiPriority w:val="39"/>
    <w:unhideWhenUsed/>
    <w:qFormat/>
    <w:rsid w:val="00C76A6C"/>
    <w:pPr>
      <w:tabs>
        <w:tab w:val="right" w:leader="dot" w:pos="9072"/>
      </w:tabs>
      <w:spacing w:after="100" w:line="480" w:lineRule="auto"/>
    </w:pPr>
    <w:rPr>
      <w:b/>
      <w:caps/>
    </w:rPr>
  </w:style>
  <w:style w:type="paragraph" w:styleId="TOC3">
    <w:name w:val="toc 3"/>
    <w:aliases w:val="Sec Sumário Terciário"/>
    <w:basedOn w:val="Normal"/>
    <w:next w:val="Normal"/>
    <w:autoRedefine/>
    <w:uiPriority w:val="39"/>
    <w:unhideWhenUsed/>
    <w:qFormat/>
    <w:rsid w:val="00213AC5"/>
    <w:pPr>
      <w:tabs>
        <w:tab w:val="right" w:leader="dot" w:pos="9072"/>
      </w:tabs>
      <w:spacing w:after="0"/>
    </w:pPr>
  </w:style>
  <w:style w:type="paragraph" w:styleId="TOC4">
    <w:name w:val="toc 4"/>
    <w:aliases w:val="Sec Sumário Quaternário"/>
    <w:basedOn w:val="Normal"/>
    <w:next w:val="Normal"/>
    <w:autoRedefine/>
    <w:uiPriority w:val="39"/>
    <w:unhideWhenUsed/>
    <w:rsid w:val="00C76A6C"/>
    <w:pPr>
      <w:tabs>
        <w:tab w:val="right" w:leader="dot" w:pos="9072"/>
      </w:tabs>
      <w:spacing w:after="100" w:line="480" w:lineRule="auto"/>
    </w:pPr>
  </w:style>
  <w:style w:type="paragraph" w:styleId="TOC5">
    <w:name w:val="toc 5"/>
    <w:aliases w:val="Sec Sumário Quinário"/>
    <w:basedOn w:val="Normal"/>
    <w:next w:val="Normal"/>
    <w:autoRedefine/>
    <w:uiPriority w:val="39"/>
    <w:unhideWhenUsed/>
    <w:rsid w:val="00C76A6C"/>
    <w:pPr>
      <w:tabs>
        <w:tab w:val="right" w:leader="dot" w:pos="9072"/>
      </w:tabs>
      <w:spacing w:after="100" w:line="480" w:lineRule="auto"/>
    </w:pPr>
    <w:rPr>
      <w:i/>
    </w:rPr>
  </w:style>
  <w:style w:type="character" w:styleId="Hyperlink">
    <w:name w:val="Hyperlink"/>
    <w:basedOn w:val="DefaultParagraphFont"/>
    <w:uiPriority w:val="99"/>
    <w:unhideWhenUsed/>
    <w:rsid w:val="00CA63E7"/>
    <w:rPr>
      <w:color w:val="0000FF"/>
      <w:u w:val="single"/>
    </w:rPr>
  </w:style>
  <w:style w:type="paragraph" w:customStyle="1" w:styleId="ListadeAbreviaturas">
    <w:name w:val="Lista de Abreviaturas"/>
    <w:basedOn w:val="ListaNumerada"/>
    <w:qFormat/>
    <w:rsid w:val="00CA63E7"/>
    <w:pPr>
      <w:tabs>
        <w:tab w:val="clear" w:pos="8505"/>
        <w:tab w:val="left" w:pos="4536"/>
      </w:tabs>
    </w:pPr>
  </w:style>
  <w:style w:type="paragraph" w:customStyle="1" w:styleId="TtuloPr-textual">
    <w:name w:val="Título Pré-textual"/>
    <w:basedOn w:val="Normal"/>
    <w:next w:val="Normal"/>
    <w:qFormat/>
    <w:rsid w:val="00CA63E7"/>
    <w:pPr>
      <w:spacing w:line="480" w:lineRule="auto"/>
      <w:jc w:val="center"/>
    </w:pPr>
    <w:rPr>
      <w:b/>
      <w:caps/>
      <w:szCs w:val="24"/>
    </w:rPr>
  </w:style>
  <w:style w:type="paragraph" w:customStyle="1" w:styleId="Dedicatria">
    <w:name w:val="Dedicatória"/>
    <w:basedOn w:val="Epgrafe"/>
    <w:next w:val="Normal"/>
    <w:qFormat/>
    <w:rsid w:val="00CA63E7"/>
    <w:rPr>
      <w:i/>
    </w:rPr>
  </w:style>
  <w:style w:type="paragraph" w:customStyle="1" w:styleId="TextoGeral">
    <w:name w:val="Texto Geral"/>
    <w:basedOn w:val="Normal"/>
    <w:qFormat/>
    <w:rsid w:val="00CA63E7"/>
    <w:pPr>
      <w:jc w:val="both"/>
    </w:pPr>
  </w:style>
  <w:style w:type="paragraph" w:customStyle="1" w:styleId="DestaquePr-Textual">
    <w:name w:val="Destaque Pré-Textual"/>
    <w:basedOn w:val="Normal"/>
    <w:qFormat/>
    <w:rsid w:val="00CA63E7"/>
    <w:pPr>
      <w:jc w:val="center"/>
    </w:pPr>
    <w:rPr>
      <w:b/>
      <w:szCs w:val="24"/>
    </w:rPr>
  </w:style>
  <w:style w:type="paragraph" w:styleId="BalloonText">
    <w:name w:val="Balloon Text"/>
    <w:basedOn w:val="Normal"/>
    <w:link w:val="BalloonTextChar"/>
    <w:uiPriority w:val="99"/>
    <w:semiHidden/>
    <w:unhideWhenUsed/>
    <w:rsid w:val="00CA63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63E7"/>
    <w:rPr>
      <w:rFonts w:ascii="Tahoma" w:hAnsi="Tahoma" w:cs="Tahoma"/>
      <w:sz w:val="16"/>
      <w:szCs w:val="16"/>
    </w:rPr>
  </w:style>
  <w:style w:type="paragraph" w:styleId="Footer">
    <w:name w:val="footer"/>
    <w:basedOn w:val="Normal"/>
    <w:link w:val="FooterChar"/>
    <w:uiPriority w:val="99"/>
    <w:unhideWhenUsed/>
    <w:rsid w:val="00CA63E7"/>
    <w:pPr>
      <w:tabs>
        <w:tab w:val="center" w:pos="4252"/>
        <w:tab w:val="right" w:pos="8504"/>
      </w:tabs>
      <w:spacing w:after="0" w:line="240" w:lineRule="auto"/>
    </w:pPr>
  </w:style>
  <w:style w:type="character" w:customStyle="1" w:styleId="FooterChar">
    <w:name w:val="Footer Char"/>
    <w:basedOn w:val="DefaultParagraphFont"/>
    <w:link w:val="Footer"/>
    <w:uiPriority w:val="99"/>
    <w:rsid w:val="00CA63E7"/>
    <w:rPr>
      <w:rFonts w:ascii="Times New Roman" w:hAnsi="Times New Roman"/>
      <w:sz w:val="24"/>
    </w:rPr>
  </w:style>
  <w:style w:type="paragraph" w:styleId="DocumentMap">
    <w:name w:val="Document Map"/>
    <w:basedOn w:val="Normal"/>
    <w:link w:val="DocumentMapChar"/>
    <w:uiPriority w:val="99"/>
    <w:semiHidden/>
    <w:unhideWhenUsed/>
    <w:rsid w:val="00B875C8"/>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875C8"/>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F166C5"/>
    <w:pPr>
      <w:spacing w:line="240" w:lineRule="auto"/>
    </w:pPr>
    <w:rPr>
      <w:rFonts w:ascii="Times New Roman" w:hAnsi="Times New Roman"/>
      <w:b/>
      <w:bCs/>
    </w:rPr>
  </w:style>
  <w:style w:type="character" w:customStyle="1" w:styleId="CommentSubjectChar">
    <w:name w:val="Comment Subject Char"/>
    <w:basedOn w:val="CommentTextChar"/>
    <w:link w:val="CommentSubject"/>
    <w:uiPriority w:val="99"/>
    <w:semiHidden/>
    <w:rsid w:val="00F166C5"/>
    <w:rPr>
      <w:rFonts w:ascii="Times New Roman" w:hAnsi="Times New Roman"/>
      <w:b/>
      <w:bCs/>
      <w:sz w:val="20"/>
      <w:szCs w:val="20"/>
    </w:rPr>
  </w:style>
  <w:style w:type="paragraph" w:styleId="TOCHeading">
    <w:name w:val="TOC Heading"/>
    <w:basedOn w:val="Heading1"/>
    <w:next w:val="Normal"/>
    <w:uiPriority w:val="39"/>
    <w:unhideWhenUsed/>
    <w:qFormat/>
    <w:rsid w:val="003E1F9D"/>
    <w:pPr>
      <w:spacing w:before="480" w:after="0" w:line="276" w:lineRule="auto"/>
      <w:outlineLvl w:val="9"/>
    </w:pPr>
    <w:rPr>
      <w:rFonts w:ascii="Cambria" w:hAnsi="Cambria"/>
      <w:caps w:val="0"/>
      <w:color w:val="365F91"/>
      <w:sz w:val="28"/>
    </w:rPr>
  </w:style>
  <w:style w:type="paragraph" w:styleId="NormalWeb">
    <w:name w:val="Normal (Web)"/>
    <w:basedOn w:val="Normal"/>
    <w:uiPriority w:val="99"/>
    <w:semiHidden/>
    <w:unhideWhenUsed/>
    <w:rsid w:val="005B7D69"/>
    <w:pPr>
      <w:spacing w:before="100" w:beforeAutospacing="1" w:after="100" w:afterAutospacing="1" w:line="240" w:lineRule="auto"/>
    </w:pPr>
    <w:rPr>
      <w:rFonts w:eastAsia="Times New Roman"/>
      <w:szCs w:val="24"/>
      <w:lang w:eastAsia="pt-BR"/>
    </w:rPr>
  </w:style>
  <w:style w:type="paragraph" w:styleId="NoSpacing">
    <w:name w:val="No Spacing"/>
    <w:uiPriority w:val="1"/>
    <w:qFormat/>
    <w:rsid w:val="002F2680"/>
    <w:rPr>
      <w:sz w:val="22"/>
      <w:szCs w:val="22"/>
      <w:lang w:eastAsia="en-US"/>
    </w:rPr>
  </w:style>
  <w:style w:type="paragraph" w:styleId="Caption">
    <w:name w:val="caption"/>
    <w:basedOn w:val="Normal"/>
    <w:next w:val="Normal"/>
    <w:uiPriority w:val="35"/>
    <w:unhideWhenUsed/>
    <w:qFormat/>
    <w:rsid w:val="002F2680"/>
    <w:pPr>
      <w:spacing w:line="240" w:lineRule="auto"/>
    </w:pPr>
    <w:rPr>
      <w:b/>
      <w:bCs/>
      <w:color w:val="4F81BD"/>
      <w:sz w:val="18"/>
      <w:szCs w:val="18"/>
    </w:rPr>
  </w:style>
  <w:style w:type="paragraph" w:styleId="ListParagraph">
    <w:name w:val="List Paragraph"/>
    <w:basedOn w:val="Normal"/>
    <w:uiPriority w:val="34"/>
    <w:qFormat/>
    <w:rsid w:val="002F2680"/>
    <w:pPr>
      <w:spacing w:line="276" w:lineRule="auto"/>
      <w:ind w:left="720"/>
      <w:contextualSpacing/>
    </w:pPr>
    <w:rPr>
      <w:rFonts w:ascii="Calibri" w:hAnsi="Calibri"/>
      <w:sz w:val="22"/>
    </w:rPr>
  </w:style>
  <w:style w:type="paragraph" w:styleId="BodyText3">
    <w:name w:val="Body Text 3"/>
    <w:basedOn w:val="Normal"/>
    <w:link w:val="BodyText3Char"/>
    <w:semiHidden/>
    <w:unhideWhenUsed/>
    <w:rsid w:val="002F2680"/>
    <w:pPr>
      <w:suppressAutoHyphens/>
      <w:spacing w:after="0" w:line="240" w:lineRule="auto"/>
      <w:jc w:val="both"/>
    </w:pPr>
    <w:rPr>
      <w:rFonts w:eastAsia="Times New Roman"/>
      <w:szCs w:val="20"/>
      <w:lang w:eastAsia="pt-BR"/>
    </w:rPr>
  </w:style>
  <w:style w:type="character" w:customStyle="1" w:styleId="BodyText3Char">
    <w:name w:val="Body Text 3 Char"/>
    <w:basedOn w:val="DefaultParagraphFont"/>
    <w:link w:val="BodyText3"/>
    <w:semiHidden/>
    <w:rsid w:val="002F2680"/>
    <w:rPr>
      <w:rFonts w:ascii="Times New Roman" w:eastAsia="Times New Roman" w:hAnsi="Times New Roman"/>
      <w:sz w:val="24"/>
    </w:rPr>
  </w:style>
  <w:style w:type="paragraph" w:customStyle="1" w:styleId="StyleStyleartigoanpadArial11pt">
    <w:name w:val="Style Style artigo anpad + Arial 11 pt"/>
    <w:basedOn w:val="Normal"/>
    <w:rsid w:val="002F2680"/>
    <w:pPr>
      <w:spacing w:before="160" w:after="0"/>
      <w:jc w:val="both"/>
    </w:pPr>
    <w:rPr>
      <w:rFonts w:ascii="Arial" w:eastAsia="Times New Roman" w:hAnsi="Arial"/>
      <w:sz w:val="22"/>
      <w:szCs w:val="18"/>
      <w:lang w:eastAsia="pt-BR"/>
    </w:rPr>
  </w:style>
  <w:style w:type="character" w:styleId="UnresolvedMention">
    <w:name w:val="Unresolved Mention"/>
    <w:basedOn w:val="DefaultParagraphFont"/>
    <w:uiPriority w:val="99"/>
    <w:semiHidden/>
    <w:unhideWhenUsed/>
    <w:rsid w:val="00A34AF1"/>
    <w:rPr>
      <w:color w:val="605E5C"/>
      <w:shd w:val="clear" w:color="auto" w:fill="E1DFDD"/>
    </w:rPr>
  </w:style>
  <w:style w:type="paragraph" w:customStyle="1" w:styleId="Reviso2Body">
    <w:name w:val="Revisão 2 — Body"/>
    <w:basedOn w:val="Normal"/>
    <w:qFormat/>
    <w:pPr>
      <w:spacing w:after="0"/>
      <w:ind w:firstLine="708"/>
      <w:jc w:val="both"/>
    </w:pPr>
    <w:rPr>
      <w:rFonts w:eastAsia="Times New Roman"/>
      <w:color w:val="000000"/>
      <w:szCs w:val="24"/>
    </w:rPr>
  </w:style>
  <w:style w:type="paragraph" w:customStyle="1" w:styleId="Reviso2Chapter">
    <w:name w:val="Revisão 2 — Chapter"/>
    <w:basedOn w:val="Normal"/>
    <w:next w:val="Reviso2Body"/>
    <w:qFormat/>
    <w:pPr>
      <w:keepNext/>
      <w:keepLines/>
      <w:pageBreakBefore/>
      <w:spacing w:after="240"/>
      <w:outlineLvl w:val="0"/>
    </w:pPr>
    <w:rPr>
      <w:rFonts w:eastAsia="Times New Roman"/>
      <w:b/>
      <w:bCs/>
      <w:color w:val="000000"/>
      <w:szCs w:val="24"/>
    </w:rPr>
  </w:style>
  <w:style w:type="paragraph" w:customStyle="1" w:styleId="Reviso2Heading">
    <w:name w:val="Revisão 2 — Heading"/>
    <w:basedOn w:val="Normal"/>
    <w:next w:val="Reviso2Body"/>
    <w:qFormat/>
    <w:pPr>
      <w:keepNext/>
      <w:keepLines/>
      <w:spacing w:before="240" w:after="180"/>
      <w:outlineLvl w:val="1"/>
    </w:pPr>
    <w:rPr>
      <w:rFonts w:eastAsia="Times New Roman"/>
      <w:b/>
      <w:bCs/>
      <w:color w:val="000000"/>
      <w:szCs w:val="24"/>
    </w:rPr>
  </w:style>
  <w:style w:type="paragraph" w:customStyle="1" w:styleId="Reviso2Subheading">
    <w:name w:val="Revisão 2 — Subheading"/>
    <w:basedOn w:val="Normal"/>
    <w:next w:val="Reviso2Body"/>
    <w:qFormat/>
    <w:pPr>
      <w:keepNext/>
      <w:keepLines/>
      <w:spacing w:before="180" w:after="120"/>
      <w:outlineLvl w:val="2"/>
    </w:pPr>
    <w:rPr>
      <w:rFonts w:eastAsia="Times New Roman"/>
      <w:b/>
      <w:bCs/>
      <w:color w:val="000000"/>
      <w:szCs w:val="24"/>
    </w:rPr>
  </w:style>
  <w:style w:type="paragraph" w:customStyle="1" w:styleId="Reviso2Reference">
    <w:name w:val="Revisão 2 — Reference"/>
    <w:next w:val="Reviso2Body"/>
    <w:qFormat/>
    <w:pPr>
      <w:keepLines/>
      <w:spacing w:after="240"/>
    </w:pPr>
    <w:rPr>
      <w:rFonts w:ascii="Times New Roman" w:eastAsia="Times New Roman" w:hAnsi="Times New Roman"/>
      <w:color w:val="000000"/>
      <w:sz w:val="24"/>
      <w:szCs w:val="24"/>
    </w:rPr>
  </w:style>
  <w:style w:type="paragraph" w:customStyle="1" w:styleId="Reviso2Table">
    <w:name w:val="Revisão 2 — Table"/>
    <w:next w:val="Reviso2Body"/>
    <w:qFormat/>
    <w:pPr>
      <w:spacing w:before="70" w:after="70"/>
    </w:pPr>
    <w:rPr>
      <w:rFonts w:ascii="Times New Roman" w:eastAsia="Times New Roman" w:hAnsi="Times New Roman"/>
      <w:color w:val="000000"/>
    </w:rPr>
  </w:style>
  <w:style w:type="paragraph" w:customStyle="1" w:styleId="Reviso2Caption">
    <w:name w:val="Revisão 2 — Caption"/>
    <w:next w:val="Reviso2Body"/>
    <w:qFormat/>
    <w:pPr>
      <w:keepNext/>
      <w:spacing w:before="120" w:after="80"/>
    </w:pPr>
    <w:rPr>
      <w:rFonts w:ascii="Times New Roman" w:eastAsia="Times New Roman" w:hAnsi="Times New Roman"/>
      <w:color w:val="000000"/>
    </w:rPr>
  </w:style>
  <w:style w:type="paragraph" w:customStyle="1" w:styleId="Reviso2Source">
    <w:name w:val="Revisão 2 — Source"/>
    <w:next w:val="Reviso2Body"/>
    <w:qFormat/>
    <w:pPr>
      <w:spacing w:before="80" w:after="120"/>
    </w:pPr>
    <w:rPr>
      <w:rFonts w:ascii="Times New Roman" w:eastAsia="Times New Roman" w:hAnsi="Times New Roman"/>
      <w:color w:val="000000"/>
    </w:rPr>
  </w:style>
  <w:style w:type="paragraph" w:customStyle="1" w:styleId="Reviso2Toc">
    <w:name w:val="Revisão 2 — Toc"/>
    <w:next w:val="Reviso2Body"/>
    <w:qFormat/>
    <w:pPr>
      <w:spacing w:after="90"/>
    </w:pPr>
    <w:rPr>
      <w:rFonts w:ascii="Times New Roman" w:eastAsia="Times New Roman" w:hAnsi="Times New Roman"/>
      <w:color w:val="000000"/>
      <w:sz w:val="24"/>
      <w:szCs w:val="24"/>
    </w:rPr>
  </w:style>
  <w:style w:type="paragraph" w:customStyle="1" w:styleId="Reviso2TocTitle">
    <w:name w:val="Revisão 2 — TocTitle"/>
    <w:basedOn w:val="Normal"/>
    <w:next w:val="Reviso2Body"/>
    <w:qFormat/>
    <w:pPr>
      <w:keepNext/>
      <w:keepLines/>
      <w:spacing w:after="240"/>
      <w:jc w:val="center"/>
    </w:pPr>
    <w:rPr>
      <w:rFonts w:eastAsia="Times New Roman"/>
      <w:b/>
      <w:bCs/>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055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9F86C8-37BF-4543-9820-952F2FAE7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2863</TotalTime>
  <Pages>46</Pages>
  <Words>14342</Words>
  <Characters>81753</Characters>
  <Application>Microsoft Office Word</Application>
  <DocSecurity>0</DocSecurity>
  <Lines>681</Lines>
  <Paragraphs>191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Instituto Presbiteriano Mackenzie</Company>
  <LinksUpToDate>false</LinksUpToDate>
  <CharactersWithSpaces>95904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de TCC — revisão de literatura integrada</dc:title>
  <dc:subject/>
  <dc:creator>Bruno - MACKENZIE</dc:creator>
  <cp:keywords/>
  <dc:description/>
  <cp:lastModifiedBy>Vinicius Bertolotti</cp:lastModifiedBy>
  <cp:revision>8</cp:revision>
  <dcterms:created xsi:type="dcterms:W3CDTF">2023-04-19T19:52:00Z</dcterms:created>
  <dcterms:modified xsi:type="dcterms:W3CDTF">2026-10-21T13:22:00Z</dcterms:modified>
</cp:coreProperties>
</file>