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REVISÃO DA LITERATURA</w:t>
      </w:r>
    </w:p>
    <w:p>
      <w:r>
        <w:t xml:space="preserve">Prever o retorno médio não basta para avaliar o risco de mercado. Decisões de exposição e proteção também dependem da frequência e da magnitude das perdas. Em uma carteira do agronegócio brasileiro, ações, commodities e câmbio compartilham alguns fatores de risco, mas representam posições econômicas distintas. Esta revisão relaciona essas exposições às propriedades dos retornos e aos modelos usados para estimar o risco.</w:t>
      </w:r>
    </w:p>
    <w:p>
      <w:r>
        <w:t xml:space="preserve">O capítulo aborda volatilidade condicional, mudanças de regime, redes recorrentes, incerteza preditiva e avaliação de risco. Esses fundamentos orientam a comparação entre HMM-LSTM e os modelos de referência. A utilidade da combinação será examinada pela qualidade das previsões fora da amostra; a maior flexibilidade da rede, por si só, não assegura estimativas melhores de VaR e ES.</w:t>
      </w:r>
    </w:p>
    <w:p>
      <w:pPr>
        <w:pStyle w:val="Heading1"/>
      </w:pPr>
      <w:r>
        <w:t>2.1 Delimitação e organização da revisão</w:t>
      </w:r>
    </w:p>
    <w:p>
      <w:r>
        <w:t xml:space="preserve">A revisão é narrativa e crítica. Reúne os trabalhos que fundamentam os métodos, suas aplicações financeiras e os documentos das instituições responsáveis pelos indicadores. A seleção considera a contribuição de cada fonte para estimar o risco da carteira e justificar as escolhas da pesquisa, incluindo os fundamentos de volatilidade condicional, estados latentes e cobertura de quantis.</w:t>
      </w:r>
    </w:p>
    <w:p>
      <w:r>
        <w:t xml:space="preserve">A leitura distingue previsão de retorno, de volatilidade e de risco de cauda. Cada tarefa exige critérios próprios. O acerto da direção dos preços, por exemplo, não demonstra que uma rede estima quantis bem calibrados. Da mesma forma, reduzir o erro de previsão da volatilidade não garante uma estimativa adequada das perdas extremas. Essa distinção orienta o uso das evidências publicadas.</w:t>
      </w:r>
    </w:p>
    <w:p>
      <w:r>
        <w:t xml:space="preserve">As fontes são examinadas pelo mercado e pela variável estudados, pela organização temporal dos dados, pelos modelos de comparação e pelo alcance dos resultados. Documentos metodológicos esclarecem o significado das séries; estudos empíricos mostram aplicações; e trabalhos teóricos fundamentam estimadores e testes. A revisão procura sustentar as decisões do estudo, sem medir a produção bibliográfica do campo ou afirmar que não existem trabalhos semelhantes.</w:t>
      </w:r>
    </w:p>
    <w:p>
      <w:pPr>
        <w:pStyle w:val="Heading1"/>
      </w:pPr>
      <w:r>
        <w:t>2.2 Risco de mercado em uma carteira do agronegócio brasileiro</w:t>
      </w:r>
    </w:p>
    <w:p>
      <w:pPr>
        <w:pStyle w:val="Heading2"/>
      </w:pPr>
      <w:r>
        <w:t>2.2.1 Exposições a commodities ações e câmbio</w:t>
      </w:r>
    </w:p>
    <w:p>
      <w:r>
        <w:t xml:space="preserve">Os componentes de uma carteira do agronegócio não reagem da mesma forma aos preços agrícolas. A alta de um produto pode elevar a receita de quem o produz e pressionar o custo de quem o utiliza como insumo. Nas companhias abertas, esses efeitos dependem também de dívidas, receitas, custos e decisões de investimento. A ligação setorial, portanto, não garante comportamento semelhante dos ativos nem diversificação estável.</w:t>
      </w:r>
    </w:p>
    <w:p>
      <w:r>
        <w:t>A literatura de commodities ajuda a compreender por que essas relações variam. Gorton, Hayashi e Rouwenhorst (2013) relacionam os prêmios de risco dos contratos futuros às condições dos estoques e mostram a relevância da base e de outras informações de preços para esse mercado. A interpretação econômica é que a disponibilidade física do produto altera o valor de mantê-lo e a remuneração exigida pelos participantes. Assim, uma mudança na curva de vencimentos não representa apenas um detalhe de construção da série: pode refletir condições distintas de oferta, demanda e armazenamento.</w:t>
      </w:r>
    </w:p>
    <w:p>
      <w:r>
        <w:t xml:space="preserve">Ubilava (2012) analisa os efeitos do El Niño e da La Niña nos preços mundiais do café, com dados mensais de março de 1989 a dezembro de 2010 e um modelo autorregressivo com transição suave. Os efeitos de curto prazo identificados sugerem uma dinâmica não linear dos preços. O estudo ajuda a justificar a atenção às mudanças de mercado, embora seus resultados se restrinjam ao café e à frequência mensal, sem avaliar o VaR diário de uma carteira brasileira.</w:t>
      </w:r>
    </w:p>
    <w:p>
      <w:r>
        <w:t>Para o investidor que mede patrimônio em reais, o câmbio modifica a exposição aos ativos cotados em dólares. Se P em USD representa o preço de referência de uma commodity e E representa a quantidade de reais por dólar, o preço equivalente em reais é obtido pelo produto dessas duas grandezas. Consequentemente, o retorno logarítmico dessa referência em reais reúne a variação do preço em dólares e a variação cambial. Essa identidade contábil não elimina a necessidade de sincronizar os horários das cotações, pois preços associados à mesma data podem ter sido observados em momentos diferentes.</w:t>
      </w:r>
    </w:p>
    <w:p>
      <w:r>
        <w:t xml:space="preserve">A inclusão de USD/BRL como componente da carteira acrescenta exposição cambial à já presente nas commodities convertidas para reais. Essa sobreposição precisa ser considerada na análise dos pesos e do risco. Ter sete séries distintas não significa ter sete fontes independentes de incerteza.</w:t>
      </w:r>
    </w:p>
    <w:p>
      <w:pPr>
        <w:pStyle w:val="Heading2"/>
      </w:pPr>
      <w:r>
        <w:t>2.2.2 Contratos futuros séries contínuas e mercado físico</w:t>
      </w:r>
    </w:p>
    <w:p>
      <w:r>
        <w:t>Os contratos futuros possuem vencimento, o que exige uma regra para acompanhar uma exposição ao longo de vários anos. Segundo a CME Group (s.d.), a rolagem envolve encerrar a posição em um vencimento e estabelecer outra em um contrato posterior; o volume negociado pode auxiliar a escolha do momento da transição. A construção de uma série contínua, porém, requer decisões adicionais sobre qual vencimento utilizar, quando substituí-lo e como tratar a diferença entre os preços dos contratos. Também exige observar as regras de entrega e os limites operacionais específicos de cada instrumento.</w:t>
      </w:r>
    </w:p>
    <w:p>
      <w:r>
        <w:t>Quando uma série troca simplesmente o contrato antigo pelo novo, o retorno calculado entre as duas datas pode combinar a mudança efetiva do mercado com a diferença entre vencimentos. Essa descontinuidade pode contaminar medidas de volatilidade, a identificação de regimes e a estimação das caudas. Ajustes por diferença ou por razão procuram tratar o problema, mas não têm os mesmos efeitos sobre níveis e variações percentuais. A escolha precisa corresponder à variável analisada e ser documentada com preços simultâneos dos contratos, sem apagar movimentos extremos apenas por parecerem inconvenientes.</w:t>
      </w:r>
    </w:p>
    <w:p>
      <w:r>
        <w:t>Uma regra baseada em liquidez também exige atenção à informação disponível no momento da decisão. Se o volume total do dia define qual contrato será escolhido para a posição que supostamente já estava aberta naquele mesmo dia, a análise pode incorporar informação posterior à decisão. O mesmo cuidado vale para indicadores calculados com preços de fechamento de bolsas diferentes. A validade de uma regra de rolagem depende, portanto, de sua interpretação temporal, e não apenas de produzir uma trajetória visualmente mais contínua.</w:t>
      </w:r>
    </w:p>
    <w:p>
      <w:r>
        <w:t xml:space="preserve">Uma série contínua de preços não reproduz todo o resultado de uma posição em futuros. Esse resultado depende de contratos, multiplicadores, ajustes diários, garantias, custos e rolagem. O índice de variações percentuais adotado aproxima a exposição conjunta, mas não inclui toda essa contabilidade. As relações entre estoques, curva e retornos discutidas por Gorton, Hayashi e Rouwenhorst (2013) ajudam a distinguir essas interpretações.</w:t>
      </w:r>
    </w:p>
    <w:p>
      <w:r>
        <w:t>Os indicadores do Centro de Estudos Avançados em Economia Aplicada (Cepea) representam outra natureza de informação. A metodologia da soja de Paranaguá define produto, praça, condições comerciais e procedimentos de coleta; por isso, o indicador se refere a uma referência do mercado físico, ainda que possa se relacionar à liquidação de instrumentos financeiros (Cepea, s.d.). Empregar um indicador físico em lugar de um futuro altera a exposição estudada e envolve diferenças de qualidade, localização, prazo e formação de preços. Essa alternativa pode ser pertinente em uma análise própria, mas não deve ser apresentada como simples correção técnica de uma série futura.</w:t>
      </w:r>
    </w:p>
    <w:p>
      <w:pPr>
        <w:pStyle w:val="Heading1"/>
      </w:pPr>
      <w:r>
        <w:t>2.3 Retornos volatilidade e informação de mercado</w:t>
      </w:r>
    </w:p>
    <w:p>
      <w:pPr>
        <w:pStyle w:val="Heading2"/>
      </w:pPr>
      <w:r>
        <w:t>2.3.1 Retorno da carteira e fatos estilizados</w:t>
      </w:r>
    </w:p>
    <w:p>
      <w:r>
        <w:t>O retorno simples de um ativo mede a variação relativa do preço entre dois instantes, enquanto o retorno logarítmico corresponde ao logaritmo da razão entre esses preços. Para preços positivos, as duas medidas se relacionam por uma transformação conhecida. A distinção importa porque os retornos logarítmicos são aditivos no tempo, mas não são diretamente aditivos entre ativos de uma carteira. Em uma carteira com pesos definidos antes do período, o retorno simples é a soma ponderada dos retornos simples dos componentes; o logaritmo do retorno bruto dessa carteira deve ser calculado depois da agregação.</w:t>
      </w:r>
    </w:p>
    <w:p>
      <w:pPr>
        <w:keepLines/>
        <w:ind w:firstLine="0"/>
        <w:jc w:val="center"/>
      </w:pPr>
      <m:oMathPara>
        <m:oMath>
          <m:r>
            <m:t>Rₚ,ₜ = Σᵢ wᵢ,ₜ₋₁Rᵢ,ₜ     e     rₚ,ₜ = ln(1 + Rₚ,ₜ)</m:t>
          </m:r>
        </m:oMath>
      </m:oMathPara>
    </w:p>
    <w:p>
      <w:r>
        <w:t>Nessa expressão, R representa o retorno simples, r o retorno logarítmico e w o peso do ativo no início do período. A representação pressupõe uma definição compatível de patrimônio e de retorno para todos os componentes. Quando parte das séries representa referências contínuas de futuros, a interpretação como carteira operacional depende das convenções financeiras discutidas anteriormente. A fórmula organiza a mensuração do índice, mas não substitui a definição econômica da exposição.</w:t>
      </w:r>
    </w:p>
    <w:p>
      <w:r>
        <w:t>Cont (2001) reúne propriedades recorrentes em séries de retornos, entre elas caudas pesadas, agrupamento de volatilidade e formas de dependência que não se resumem à autocorrelação linear. A baixa previsibilidade da direção de um retorno não implica ausência de previsibilidade em sua intensidade. Períodos de grandes variações podem ser seguidos por outros períodos de instabilidade, mesmo quando o sinal do movimento seguinte permanece difícil de antecipar. Essa diferença explica por que prever risco e prever a valorização de um ativo são tarefas relacionadas, mas distintas.</w:t>
      </w:r>
    </w:p>
    <w:p>
      <w:r>
        <w:t xml:space="preserve">Uma distribuição de retornos observada por muitos anos reúne períodos de baixa e alta volatilidade. Essa mistura explica parte da dispersão total, mas não garante que os extremos estejam bem representados em cada período. Por isso, a identificação dos estados e o tratamento da cauda precisam ser avaliados em conjunto.</w:t>
      </w:r>
    </w:p>
    <w:p>
      <w:pPr>
        <w:pStyle w:val="Heading2"/>
      </w:pPr>
      <w:r>
        <w:t>2.3.2 Volatilidade condicional e medidas auxiliares</w:t>
      </w:r>
    </w:p>
    <w:p>
      <w:r>
        <w:t>Engle (1982) introduz a estrutura ARCH, na qual a variância condicional depende de informações passadas dos erros. Bollerslev (1986) amplia essa ideia com o GARCH, incorporando variâncias condicionais defasadas. No caso GARCH(1,1), uma formulação usual combina uma constante positiva, o choque quadrático anterior e a variância do período anterior. A estrutura permite representar persistência e atualização do risco de maneira relativamente parcimoniosa.</w:t>
      </w:r>
    </w:p>
    <w:p>
      <w:pPr>
        <w:keepLines/>
        <w:ind w:firstLine="0"/>
        <w:jc w:val="center"/>
      </w:pPr>
      <m:oMathPara>
        <m:oMath>
          <m:r>
            <m:t>hₜ = ω + αε²ₜ₋₁ + βhₜ₋₁</m:t>
          </m:r>
        </m:oMath>
      </m:oMathPara>
    </w:p>
    <w:p>
      <w:r>
        <w:t xml:space="preserve">A equação descreve a variância condicional h. Restrições sobre ω, α e β garantem sua positividade; a existência de momentos e a estabilidade exigem condições adicionais. Mesmo com parâmetros constantes, o GARCH produz volatilidade variável e uma distribuição não linear dos retornos. Sua avaliação deve considerar a adequação da regra de atualização e da distribuição ao mercado estudado.</w:t>
      </w:r>
    </w:p>
    <w:p>
      <w:r>
        <w:t>Outras medidas fornecem informações complementares. Garman e Klass (1980) propõem estimadores que utilizam abertura, máxima, mínima e fechamento, aproveitando a amplitude observada dentro do período. Essas medidas dependem de hipóteses sobre o processo de preços e da consistência das cotações. Uma estimativa obtida de OHLC diário não deve ser identificada automaticamente com a variância realizada calculada a partir de retornos intradiários. Além de medirem aspectos distintos, ambas podem ser afetadas por horários de negociação, movimentos entre sessões e qualidade dos registros.</w:t>
      </w:r>
    </w:p>
    <w:p>
      <w:r>
        <w:t xml:space="preserve">Campani e Durães (2018) analisam a volatilidade do USD/BRL com modelos GARCH acrescidos de variância realizada de alta frequência e do índice implícito FXVol. Os resultados favorecem essas informações na aplicação examinada. Seu efeito em ações, commodities ou no retorno agregado de uma carteira, porém, precisa ser avaliado em cada caso.</w:t>
      </w:r>
    </w:p>
    <w:p>
      <w:r>
        <w:t>A volatilidade implícita também precisa ser associada ao mercado de origem. A Cboe (s.d.) define o VIX como uma medida de volatilidade esperada para o S&amp;P 500 nos 30 dias seguintes, extraída de preços de opções. Ele pode servir como informação sobre condições financeiras externas, mas não mede diretamente a volatilidade futura de uma carteira do agronegócio brasileiro. Da mesma forma, o estimador de Corwin e Schultz (2012) utiliza máximas e mínimas diárias para inferir o spread de negociação. Trata-se de uma aproximação de liquidez, e não de uma observação direta de cotações de compra e venda.</w:t>
      </w:r>
    </w:p>
    <w:p>
      <w:pPr>
        <w:pStyle w:val="Heading1"/>
      </w:pPr>
      <w:r>
        <w:t>2.4 Value at Risk Expected Shortfall e risco de cauda</w:t>
      </w:r>
    </w:p>
    <w:p>
      <w:pPr>
        <w:pStyle w:val="Heading2"/>
      </w:pPr>
      <w:r>
        <w:t>2.4.1 Definição das medidas e interpretação da perda</w:t>
      </w:r>
    </w:p>
    <w:p>
      <w:r>
        <w:t>A mensuração do risco começa pela definição da variável de perda, do horizonte e do conjunto de informações disponível. Se o objeto for o retorno simples de um índice de preços, pode-se representar a perda proporcional por L = −R. Valores positivos indicam perdas e valores negativos indicam ganhos. Essa convenção evita misturar o sinal de um retorno com o sinal da exposição ao risco e não requer transformar todos os ganhos em zero. Caso o objeto seja o resultado monetário de uma carteira operacional, a definição precisa acompanhar sua contabilidade específica.</w:t>
      </w:r>
    </w:p>
    <w:p>
      <w:r>
        <w:t>Para um nível de confiança α, o VaR é um quantil da distribuição de perdas condicionada às informações disponíveis na origem da previsão. Um VaR a 99% procura delimitar um ponto abaixo do qual se encontra aproximadamente 99% dessa distribuição, sob as condições do modelo. Ele não representa a maior perda possível nem informa, sozinho, a magnitude do que ocorre além do quantil. Uma carteira pode apresentar o mesmo VaR que outra e, ainda assim, concentrar perdas muito mais intensas na região extrema.</w:t>
      </w:r>
    </w:p>
    <w:p>
      <w:pPr>
        <w:keepLines/>
        <w:ind w:firstLine="0"/>
        <w:jc w:val="center"/>
      </w:pPr>
      <m:oMathPara>
        <m:oMath>
          <m:r>
            <m:t>VaRα,ₜ = inf{ℓ : P(Lₜ₊₁ ≤ ℓ | ℱₜ) ≥ α}</m:t>
          </m:r>
        </m:oMath>
      </m:oMathPara>
    </w:p>
    <w:p>
      <w:r>
        <w:t>O Expected Shortfall complementa essa informação ao resumir a região mais desfavorável da distribuição. Acerbi e Tasche (2002) discutem sua definição e coerência, destacando a importância de tratar corretamente distribuições com descontinuidades. Uma formulação geral corresponde à média dos quantis da cauda superior das perdas. Em distribuições contínuas, ela pode ser relacionada à perda esperada além do VaR; na presença de massa concentrada no quantil, a regra de ponderação dessa massa precisa ser preservada.</w:t>
      </w:r>
    </w:p>
    <w:p>
      <w:pPr>
        <w:keepLines/>
        <w:ind w:firstLine="0"/>
        <w:jc w:val="center"/>
      </w:pPr>
      <m:oMathPara>
        <m:oMath>
          <m:sSub>
            <m:e>
              <m:r>
                <m:t>ES</m:t>
              </m:r>
            </m:e>
            <m:sub>
              <m:r>
                <m:t>α,t</m:t>
              </m:r>
            </m:sub>
          </m:sSub>
          <m:r>
            <m:t> = </m:t>
          </m:r>
          <m:f>
            <m:num>
              <m:r>
                <m:t>1</m:t>
              </m:r>
            </m:num>
            <m:den>
              <m:r>
                <m:t>1 − α</m:t>
              </m:r>
            </m:den>
          </m:f>
          <m:nary>
            <m:naryPr>
              <m:chr m:val="∫"/>
              <m:limLoc m:val="undOvr"/>
            </m:naryPr>
            <m:sub>
              <m:r>
                <m:t>α</m:t>
              </m:r>
            </m:sub>
            <m:sup>
              <m:r>
                <m:t>1</m:t>
              </m:r>
            </m:sup>
            <m:e>
              <m:r>
                <m:t>VaR(u,t) du</m:t>
              </m:r>
            </m:e>
          </m:nary>
        </m:oMath>
      </m:oMathPara>
    </w:p>
    <w:p>
      <w:r>
        <w:t>Na expressão, a integral começa em α e reúne os quantis superiores até 1. A propriedade de subaditividade do ES, nas condições de integrabilidade pertinentes, oferece uma justificativa para seu uso na análise de diversificação. Essa propriedade não significa, porém, que sua estimativa seja simples ou estável em qualquer amostra. Como o ES depende da intensidade das perdas extremas, a escassez de observações na cauda pode torná-lo especialmente sensível à escolha do período e à especificação da distribuição (Acerbi; Tasche, 2002).</w:t>
      </w:r>
    </w:p>
    <w:p>
      <w:pPr>
        <w:pStyle w:val="Heading2"/>
      </w:pPr>
      <w:r>
        <w:t>2.4.2 Formas de estimação e informação disponível na cauda</w:t>
      </w:r>
    </w:p>
    <w:p>
      <w:r>
        <w:t>Há diferentes caminhos para obter as medidas. Modelos paramétricos especificam uma distribuição condicional; a simulação histórica utiliza realizações passadas; procedimentos semiparamétricos combinam uma estrutura dinâmica com informações empíricas sobre os erros. Hull e White (1998), por exemplo, propõem atualizar a volatilidade na simulação histórica, permitindo que observações passadas sejam consideradas à luz das condições correntes de risco. A escolha entre esses caminhos envolve hipóteses distintas sobre estabilidade dos resíduos, capacidade de adaptação e tratamento dos extremos.</w:t>
      </w:r>
    </w:p>
    <w:p>
      <w:r>
        <w:t>A previsão direta dos quantis constitui outra possibilidade. Engle e Manganelli (2004) apresentam o CAViaR, que modela a evolução do quantil condicional por regressão quantílica, sem exigir que toda a distribuição dos retornos seja descrita por uma única família paramétrica. Taylor (2019) desenvolve uma abordagem semiparamétrica para a previsão conjunta de VaR e ES. Essas contribuições mostram que a modelagem do risco pode ser orientada diretamente às características da cauda, em vez de decorrer necessariamente de uma previsão pontual seguida por uma hipótese adicional de distribuição.</w:t>
      </w:r>
    </w:p>
    <w:p>
      <w:r>
        <w:t xml:space="preserve">A quantidade de dados disponível na cauda depende do nível de confiança. Em 125 observações, uma cauda de 1% corresponde a apenas 1,25 observação. Gerar milhares de cenários a partir dessa amostra reduz o erro numérico, mas não acrescenta episódios históricos independentes. A precisão da estimativa continua dependendo dos dados e das hipóteses da simulação.</w:t>
      </w:r>
    </w:p>
    <w:p>
      <w:r>
        <w:t>A unidade da variável também precisa ser mantida. Se uma rede prevê retornos logarítmicos, a perda simples correspondente é obtida por L = 1 − exp(r). Para estimar o ES nessa escala, cada cenário deve ser transformado antes da média na cauda. Em geral, transformar a média de uma variável não produz a média de sua transformação. Essa diferença matemática afeta a coerência entre o alvo previsto, os cenários simulados e a interpretação econômica das medidas de risco.</w:t>
      </w:r>
    </w:p>
    <w:p>
      <w:pPr>
        <w:pStyle w:val="Heading1"/>
      </w:pPr>
      <w:r>
        <w:t>2.5 Mudanças de regime e Hidden Markov Models</w:t>
      </w:r>
    </w:p>
    <w:p>
      <w:r>
        <w:t>Hamilton (1989) propõe uma abordagem para representar mudanças discretas e não observadas na dinâmica de séries econômicas, com aplicação ao ciclo de negócios dos Estados Unidos. A ideia central é permitir que o comportamento da série dependa de um estado latente que evolui segundo uma cadeia de Markov. Em uma aplicação financeira, esse mecanismo pode representar condições com diferentes níveis de retorno e volatilidade. A transição entre estados passa a integrar o modelo, em vez de ser definida exclusivamente por datas de crise escolhidas após a observação dos acontecimentos.</w:t>
      </w:r>
    </w:p>
    <w:p>
      <w:r>
        <w:t>Os HMM organizam essa ideia em dois componentes: um processo de estados não observados e uma distribuição das observações condicionada ao estado. A matriz de transição descreve as probabilidades de passagem entre estados, enquanto as distribuições de emissão representam o comportamento dos dados em cada um deles. Rabiner (1989) sistematiza os problemas de avaliação, inferência e estimação associados a essa estrutura, oferecendo a base algorítmica para seu emprego em diferentes domínios.</w:t>
      </w:r>
    </w:p>
    <w:p>
      <w:r>
        <w:t xml:space="preserve">Em um HMM gaussiano, cada estado tem sua média e matriz de covariância. A mistura dos estados amplia a representação da distribuição agregada, mas pode deixar dependências, caudas ou durações mal descritas. Os estados estimados são uma aproximação estatística e precisam ser avaliados antes de receber uma interpretação econômica.</w:t>
      </w:r>
    </w:p>
    <w:p>
      <w:r>
        <w:t>A distinção entre probabilidades filtradas e suavizadas é decisiva para previsão. A filtragem utiliza somente observações disponíveis até o instante considerado. A suavização incorpora também observações posteriores, podendo ser adequada à interpretação retrospectiva de episódios históricos. Embora ambas sejam úteis, apenas a primeira corresponde à informação que estaria disponível para uma decisão tomada naquele momento. O algoritmo de Viterbi, por sua vez, procura uma trajetória conjunta mais provável; aplicá-lo à sequência completa não transforma seus estados históricos em informações prospectivas (Rabiner, 1989).</w:t>
      </w:r>
    </w:p>
    <w:p>
      <w:pPr>
        <w:keepLines/>
        <w:ind w:firstLine="0"/>
        <w:jc w:val="center"/>
      </w:pPr>
      <m:oMathPara>
        <m:oMath>
          <m:r>
            <m:t>πₜ(k) ∝ fₖ(yₜ) Σⱼ pⱼₖπₜ₋₁(j)</m:t>
          </m:r>
        </m:oMath>
      </m:oMathPara>
    </w:p>
    <w:p>
      <w:r>
        <w:t>Essa forma resumida da recursão Forward combina a probabilidade anterior, as transições entre estados e a plausibilidade da observação corrente sob cada estado. A normalização faz as probabilidades somarem um. Na aplicação preditiva, os parâmetros envolvidos também precisam ter sido estimados com dados anteriores ao período avaliado. Uma filtragem calculada apenas com o passado ainda pode carregar informação futura se a matriz de transição ou as distribuições de emissão tiverem sido ajustadas com a amostra completa.</w:t>
      </w:r>
    </w:p>
    <w:p>
      <w:r>
        <w:t xml:space="preserve">A escolha do número de estados equilibra detalhe e precisão. Mais estados aumentam o número de parâmetros e podem dividir episódios raros em grupos pequenos. Critérios de informação, estabilidade e interpretação ajudam nessa decisão, que deve ocorrer antes da avaliação no teste. Como os rótulos não têm significado econômico próprio, as comparações entre janelas exigem uma convenção comum, como ordenar os estados pela volatilidade estimada no treino.</w:t>
      </w:r>
    </w:p>
    <w:p>
      <w:r>
        <w:t>Para integrar o HMM a outro modelo, pode-se utilizar um estado selecionado ou suas probabilidades. A seleção de um único estado simplifica a representação, mas descarta parte da incerteza de classificação. Probabilidades preservam essa informação, embora acrescentem entradas e possíveis dependências ao modelo seguinte. Não há razão teórica suficiente para presumir que uma dessas opções dominará sempre a outra. O ganho deve ser investigado na comparação com uma arquitetura equivalente que não recebe a informação de regime.</w:t>
      </w:r>
    </w:p>
    <w:p>
      <w:pPr>
        <w:pStyle w:val="Heading1"/>
      </w:pPr>
      <w:r>
        <w:t>2.6 Modelos MS GARCH como referência econométrica</w:t>
      </w:r>
    </w:p>
    <w:p>
      <w:r>
        <w:t>O MS-GARCH combina mudanças de regime com dinâmicas de variância condicional. Haas, Mittnik e Paolella (2004) apresentam uma formulação que procura lidar com dificuldades de estimação e de caracterização dinâmica de modelos anteriores. Sua proposta permite que processos de variância associados a diferentes regimes evoluam em paralelo. O estado latente determina a distribuição relevante para as observações, preservando a atualização da volatilidade a partir do histórico disponível.</w:t>
      </w:r>
    </w:p>
    <w:p>
      <w:r>
        <w:t>Essa estrutura evita interpretar o MS-GARCH como a simples seleção diária de um entre vários GARCH ajustados de forma independente após a classificação dos dados. A modelagem envolve a dinâmica das variâncias, as probabilidades dos estados e a distribuição condicional resultante. Dependendo da especificação, mudanças nos parâmetros de persistência e na forma das inovações podem representar comportamentos que um modelo de regime único descreve de maneira menos flexível. O aumento da flexibilidade, contudo, também pode dificultar a estimação e exigir mais informação da amostra.</w:t>
      </w:r>
    </w:p>
    <w:p>
      <w:r>
        <w:t xml:space="preserve">Ardia et al. (2019) apresentam o pacote MSGARCH, que reúne estimação por máxima verossimilhança e inferência bayesiana, simulação, previsão de densidades e cálculo de VaR e ES. O pacote permite implementar uma referência que também incorpora regimes e heterocedasticidade. Seu desempenho frente à rede será avaliado na aplicação, sem pressupor que o MS-GARCH seja superior em qualquer mercado.</w:t>
      </w:r>
    </w:p>
    <w:p>
      <w:r>
        <w:t>Uma consequência importante da distribuição em mistura é que o quantil agregado não corresponde, em geral, à média ponderada dos quantis de cada estado. As probabilidades precisam compor a distribuição preditiva antes da obtenção do VaR e do ES. Da mesma forma, escolher inovações Student-t constitui uma hipótese paramétrica sobre a distribuição condicional; isso não equivale a utilizar simulação histórica filtrada. A nomenclatura dos procedimentos precisa refletir como os cenários foram efetivamente gerados, pois métodos com nomes semelhantes podem impor hipóteses diferentes (Ardia et al., 2019).</w:t>
      </w:r>
    </w:p>
    <w:p>
      <w:pPr>
        <w:pStyle w:val="Heading1"/>
      </w:pPr>
      <w:r>
        <w:t>2.7 Redes LSTM e modelos híbridos em finanças</w:t>
      </w:r>
    </w:p>
    <w:p>
      <w:pPr>
        <w:pStyle w:val="Heading2"/>
      </w:pPr>
      <w:r>
        <w:t>2.7.1 Aprendizado temporal e objeto da previsão</w:t>
      </w:r>
    </w:p>
    <w:p>
      <w:r>
        <w:t>Hochreiter e Schmidhuber (1997) introduzem a LSTM para enfrentar dificuldades de aprendizado de dependências longas em redes recorrentes. A arquitetura utiliza um estado de memória e mecanismos de controle do fluxo de informação, reduzindo problemas associados à propagação do gradiente ao longo da sequência. Gers, Schmidhuber e Cummins (2000) acrescentam a porta de esquecimento adaptativa, componente importante das formulações modernas. Essa evolução permite que a rede aprenda quando preservar, incorporar ou descartar informações, sem fixar antecipadamente uma única regra de dependência temporal.</w:t>
      </w:r>
    </w:p>
    <w:p>
      <w:r>
        <w:t>Em finanças, uma LSTM pode receber sequências de retornos, medidas de volatilidade e outras variáveis disponíveis na origem da previsão. Sua flexibilidade permite representar interações que seriam trabalhosas de especificar manualmente. Entretanto, a quantidade de observações efetivamente aproveitável diminui com a exigência de janelas completas, defasagens e divisões cronológicas. Acrescentar camadas ou variáveis pode aumentar a capacidade de ajuste sem produzir melhora fora da amostra, especialmente quando os episódios relevantes para a cauda são poucos.</w:t>
      </w:r>
    </w:p>
    <w:p>
      <w:r>
        <w:t xml:space="preserve">Sob condições usuais, minimizar o erro quadrático médio leva à previsão da média condicional do alvo. Quando o alvo é o retorno, a saída não é um quantil extremo nem uma previsão de volatilidade. O cálculo do risco depende, assim, da função de perda e da regra que transforma essa saída em uma distribuição de perdas.</w:t>
      </w:r>
    </w:p>
    <w:p>
      <w:pPr>
        <w:pStyle w:val="Heading2"/>
      </w:pPr>
      <w:r>
        <w:t>2.7.2 Evidências empíricas e limites de transferência</w:t>
      </w:r>
    </w:p>
    <w:p>
      <w:r>
        <w:t xml:space="preserve">Fischer e Krauss (2018) usam LSTM para prever, fora da amostra, a direção dos movimentos das ações do S&amp;P 500 entre 1992 e 2015. O estudo compara a rede com métodos de classificação sem o mesmo mecanismo de memória. Sua aplicação fundamenta o interesse por LSTM em finanças, mas não avalia a cobertura do VaR ou a precisão do ES de uma carteira brasileira.</w:t>
      </w:r>
    </w:p>
    <w:p>
      <w:r>
        <w:t>A integração entre regimes e redes neurais já aparece em trabalhos voltados ao risco. De Mel (2026) apresenta uma combinação de HMM gaussiano e LSTM para dados da Microsoft entre 2016 e 2022, separando os períodos de treinamento e teste. Conforme a descrição publicada, a rede prevê uma aproximação de volatilidade, o regime é utilizado como entrada e uma distribuição Student-t de resíduos padronizados fornece o tratamento da cauda. Esse desenho mostra que a informação de estado e a distribuição das inovações desempenham funções distintas na obtenção das medidas de risco.</w:t>
      </w:r>
    </w:p>
    <w:p>
      <w:r>
        <w:t xml:space="preserve">A aplicação de De Mel (2026) também mostra a importância de interpretar cada backtest pelo que ele avalia. Não rejeitar cobertura incondicional não dispensa o exame da dependência das violações, da severidade das perdas e da comparação pareada. A ação norte-americana estudada fornece um antecedente metodológico; a aplicação à carteira brasileira permanece uma questão empírica.</w:t>
      </w:r>
    </w:p>
    <w:p>
      <w:r>
        <w:t>Arimond et al. (2026) estudam redes neurais e VaR em carteiras de índices de ações e títulos de diferentes mercados, incluindo inicializações baseadas em HMM. Os autores relatam benefícios de uma LSTM em determinadas configurações e destacam a dependência em relação à disponibilidade de históricos longos. A forma de incorporar os estados e a finalidade de gestão de ativos diferem de uma rede que recebe probabilidades filtradas como variáveis explicativas. O estudo reforça o interesse pela combinação, ao mesmo tempo que impede tratar HMM-LSTM como uma arquitetura sem antecedentes na literatura financeira.</w:t>
      </w:r>
    </w:p>
    <w:p>
      <w:r>
        <w:t>A contribuição de uma combinação específica precisa ser identificada por comparação. Uma LSTM sem regime ajuda a verificar se o HMM acrescenta informação útil além das mesmas variáveis e defasagens. O MS-GARCH permite examinar se os eventuais ganhos dependem apenas de contemplar estados e volatilidade variável. Essas comparações não isolam um efeito causal em sentido econômico, mas tornam a interpretação preditiva mais clara. Se os modelos utilizarem informações ou períodos diferentes, parte da diferença observada poderá decorrer dessas escolhas, e não da arquitetura em si.</w:t>
      </w:r>
    </w:p>
    <w:p>
      <w:pPr>
        <w:pStyle w:val="Heading1"/>
      </w:pPr>
      <w:r>
        <w:t>2.8 Incerteza preditiva e Monte Carlo Dropout</w:t>
      </w:r>
    </w:p>
    <w:p>
      <w:r>
        <w:t>Gal e Ghahramani (2016) apresentam uma interpretação do dropout como aproximação de inferência bayesiana sob determinadas condições. Mantê-lo ativo em sucessivas avaliações da rede permite obter saídas diferentes para uma mesma entrada e examinar a sensibilidade da previsão às configurações de parâmetros implicitamente representadas. A técnica oferece uma forma computacionalmente acessível de investigar incerteza do modelo. Sua aplicação, entretanto, precisa respeitar a arquitetura e o esquema de dropout; diferentes formas de aplicar máscaras às conexões não são automaticamente equivalentes.</w:t>
      </w:r>
    </w:p>
    <w:p>
      <w:r>
        <w:t xml:space="preserve">Kendall e Gal (2017) distinguem a incerteza epistêmica, ligada ao conhecimento limitado do modelo, da aleatória, associada à variabilidade das observações. Embora o estudo trate de visão computacional, a distinção ajuda a interpretar previsões financeiras: redes podem concordar sobre a média e, ainda assim, os retornos apresentarem grande dispersão.</w:t>
      </w:r>
    </w:p>
    <w:p>
      <w:r>
        <w:t>Essa diferença limita o uso direto do Monte Carlo Dropout para calcular VaR e ES. Se cada avaliação da rede gera uma estimativa da média condicional, a distribuição dessas estimativas descreve principalmente variações na previsão do modelo. Ela não representa necessariamente a distribuição de todos os retornos que podem ocorrer no período seguinte. Para transformar a previsão em uma distribuição de perdas, é necessário representar também a variabilidade das observações e examinar se essa representação continua adequada quando as condições de mercado mudam (Gal; Ghahramani, 2016; Kendall; Gal, 2017).</w:t>
      </w:r>
    </w:p>
    <w:p>
      <w:r>
        <w:t>Um caminho é combinar uma previsão de localização com uma escala condicional e uma distribuição de resíduos. Em termos esquemáticos, o retorno seguinte pode ser representado pela soma da localização prevista e de um erro padronizado multiplicado pela escala. A ideia se aproxima da adaptação da simulação histórica às condições correntes de volatilidade discutida por Hull e White (1998). A interpretação depende de verificar se os resíduos padronizados são suficientemente estáveis; utilizar uma escala constante, por exemplo, não introduz adaptação diária da dispersão apenas por haver uma rede neural no componente de média.</w:t>
      </w:r>
    </w:p>
    <w:p>
      <w:r>
        <w:t xml:space="preserve">Os erros usados na calibração devem vir de um período separado do teste e posterior à escolha da rede. Usar os mesmos erros para calibrar e avaliar a cauda compromete a análise fora da amostra. Essa separação reduz o conjunto de treino, o que exige discutir o equilíbrio entre tamanho da amostra, atualidade dos dados e precisão dos extremos, sobretudo nos estados com poucos episódios.</w:t>
      </w:r>
    </w:p>
    <w:p>
      <w:r>
        <w:t xml:space="preserve">O número de passagens com dropout controla a precisão computacional da aproximação. Mil passagens podem estabilizar médias e quantis, mas não demonstram que a distribuição obtida descreve os retornos. Combinar essa dispersão com erros de calibração também pode contar duas vezes efeitos já presentes nos resíduos. Cada componente precisa ter uma função definida no cálculo do VaR e do ES.</w:t>
      </w:r>
    </w:p>
    <w:p>
      <w:pPr>
        <w:pStyle w:val="Heading1"/>
      </w:pPr>
      <w:r>
        <w:t>2.9 Validação temporal backtesting e comparação das previsões</w:t>
      </w:r>
    </w:p>
    <w:p>
      <w:pPr>
        <w:pStyle w:val="Heading2"/>
      </w:pPr>
      <w:r>
        <w:t>2.9.1 Avaliação fora da amostra e informação disponível</w:t>
      </w:r>
    </w:p>
    <w:p>
      <w:r>
        <w:t>Hyndman e Athanasopoulos (2021) descrevem a avaliação por origens móveis, na qual cada previsão é construída a partir de observações anteriores ao instante previsto. Essa organização aproxima a avaliação da situação enfrentada por quem precisa decidir sem conhecer o futuro. Janelas móveis e janelas expansivas representam compromissos diferentes: as primeiras priorizam informação recente e descartam parte do histórico; as segundas acumulam observações, mas podem preservar períodos menos representativos das condições atuais.</w:t>
      </w:r>
    </w:p>
    <w:p>
      <w:r>
        <w:t xml:space="preserve">A separação temporal vale para seleção de variáveis, padronização, escolha de hiperparâmetros, ajuste do HMM e calibração da distribuição. Todas essas etapas devem respeitar o período de informação de cada janela. Também é necessário verificar as fronteiras dos blocos: ao prever o próximo pregão, uma observação no fim do treino pode ter um alvo que já pertence à validação.</w:t>
      </w:r>
    </w:p>
    <w:p>
      <w:r>
        <w:t xml:space="preserve">A data de uma série não garante que a informação estivesse disponível na origem da previsão. Indicadores divulgados após o fechamento e revisões macroeconômicas exigem atenção. O alinhamento entre mercados com calendários e horários diferentes deve explicitar quais dados já eram conhecidos, para que o desempenho não resulte de informação futura.</w:t>
      </w:r>
    </w:p>
    <w:p>
      <w:pPr>
        <w:pStyle w:val="Heading2"/>
      </w:pPr>
      <w:r>
        <w:t>2.9.2 Cobertura independência e severidade das perdas</w:t>
      </w:r>
    </w:p>
    <w:p>
      <w:r>
        <w:t>Kupiec (1995) propõe procedimentos para examinar a precisão de modelos de risco e destaca a necessidade de amostras suficientemente grandes para avaliar eventos de baixa probabilidade. No teste de cobertura incondicional, compara-se a proporção observada de violações com a probabilidade nominal da cauda. Se o VaR é calculado com confiança de 99%, a referência é uma proporção de violações de 1%. O teste avalia compatibilidade estatística, e não a capacidade de antecipar cada episódio extremo.</w:t>
      </w:r>
    </w:p>
    <w:p>
      <w:r>
        <w:t>Christoffersen (1998) amplia a análise ao considerar a estrutura temporal das violações. Um modelo pode apresentar a frequência total esperada e concentrar suas falhas em uma sequência curta de dias turbulentos. Nessa situação, a cobertura incondicional pode ocultar uma deficiência relevante para a gestão do risco. A análise de independência e de cobertura condicional procura identificar esse problema, embora também dependa da quantidade de observações e de transições efetivamente disponíveis.</w:t>
      </w:r>
    </w:p>
    <w:p>
      <w:r>
        <w:t>Uma avaliação por regime deve preservar essa dimensão temporal. Selecionar apenas dias de estresse e tratá-los como uma nova sequência contínua pode criar adjacências que não existiram no calendário original. Além disso, classificar o regime com probabilidades suavizadas ou com o retorno que se deseja prever introduz informação incompatível com uma decisão prospectiva. O estado utilizado para comparar previsões precisa corresponder à informação conhecida na origem de cada uma delas.</w:t>
      </w:r>
    </w:p>
    <w:p>
      <w:r>
        <w:t>A avaliação do ES exige examinar a severidade das perdas. Acerbi e Székely (2014) apresentam procedimentos de backtesting específicos e distinguem o problema de testar uma medida do problema de comparar modelos por uma função de pontuação. A compatibilidade da frequência de violações do VaR não demonstra, sozinha, que o ES descreve adequadamente a cauda. A escolha de um teste de ES deve considerar os dados requeridos, a definição da estatística e a construção de sua referência sob a hipótese nula; calcular apenas uma estatística não fornece automaticamente um p-valor válido.</w:t>
      </w:r>
    </w:p>
    <w:p>
      <w:pPr>
        <w:pStyle w:val="Heading2"/>
      </w:pPr>
      <w:r>
        <w:t>2.9.3 Comparação preditiva e interpretação das hipóteses</w:t>
      </w:r>
    </w:p>
    <w:p>
      <w:r>
        <w:t>Diebold e Mariano (1995) desenvolvem um teste de igualdade de precisão preditiva a partir da diferença entre perdas de previsão de modelos concorrentes. A aplicação exige previsões comparáveis, realizadas para as mesmas datas e avaliadas pela mesma função de perda. A dependência temporal dessa diferença precisa ser considerada na estimação da incerteza. A escolha do critério é substantiva: comparar o erro quadrático de retornos previstos responde a uma pergunta diferente de comparar a qualidade de quantis de perda.</w:t>
      </w:r>
    </w:p>
    <w:p>
      <w:r>
        <w:t>Fissler e Ziegel (2016) demonstram, sob condições apropriadas, a elicitabilidade conjunta de VaR e ES, fornecendo fundamento para funções de pontuação consistentes para o par de medidas. A contribuição permite comparar previsões de cauda sem reduzir a análise à contagem de violações. Engle e Manganelli (2004), ao orientarem a estimação para quantis, também evidenciam a importância de alinhar o critério de avaliação ao objeto previsto. Um limiar de VaR excessivamente conservador pode produzir poucas violações e, mesmo assim, ser pouco informativo para decisões de exposição.</w:t>
      </w:r>
    </w:p>
    <w:p>
      <w:r>
        <w:t xml:space="preserve">Esses cuidados orientam as hipóteses do trabalho. H1 exige examinar cobertura e precisão; H2 requer atenção ao agrupamento das violações e ao número de dias de estresse; e H3 distingue ausência de diferença detectável de equivalência. Uma afirmação de não inferioridade depende de margem aceitável definida previamente e de um teste adequado.</w:t>
      </w:r>
    </w:p>
    <w:p>
      <w:r>
        <w:t xml:space="preserve">A interpretação também depende da quantidade de janelas, modelos e regimes comparados. Escolher a especificação depois de observar resultados favoráveis torna a avaliação otimista. A discussão deve apresentar diferenças de desempenho e sua incerteza, além da variação entre períodos. Uma comparação reproduzível pode trazer contribuição mesmo quando o modelo híbrido não supera as referências.</w:t>
      </w:r>
    </w:p>
    <w:p>
      <w:pPr>
        <w:pStyle w:val="Heading1"/>
      </w:pPr>
      <w:r>
        <w:t>2.10 Interpretabilidade e limites das explicações</w:t>
      </w:r>
    </w:p>
    <w:p>
      <w:r>
        <w:t>Lundberg e Lee (2017) apresentam o SHAP como uma estrutura de atribuição de contribuições das variáveis a previsões específicas, reunindo métodos de explicação em uma formulação aditiva. A abordagem pode auxiliar a investigação de quais informações estão associadas às saídas de um modelo e de como essa associação varia entre condições de mercado. Para uma rede recorrente, a definição do objeto explicado deve esclarecer se as contribuições correspondem a variáveis, defasagens, grupos de períodos ou a alguma agregação desses elementos.</w:t>
      </w:r>
    </w:p>
    <w:p>
      <w:r>
        <w:t>Os valores atribuídos dependem da distribuição de referência e da forma como se representa a ausência de uma variável. Janzing, Minorics e Blöbaum (2020) discutem justamente as diferenças entre condicionamento observacional e interpretação de intervenções nesse problema. Em dados financeiros, variáveis de volatilidade e suas defasagens costumam compartilhar informação, de modo que a contribuição atribuída a uma delas pode mudar conforme o tratamento das demais. Explicações produzidas por SHAP devem ser lidas como descrições do comportamento do modelo sob uma referência definida, sem atribuição automática de efeitos causais no mercado.</w:t>
      </w:r>
    </w:p>
    <w:p>
      <w:r>
        <w:t xml:space="preserve">A interpretação complementa os backtests. Uma explicação plausível não corrige um quantil mal estimado, assim como uma variável importante para a rede pode não causar a perda observada. Neste trabalho, o SHAP ajuda a examinar as relações aprendidas e suas limitações; a qualidade das previsões continua sendo avaliada pelos testes e escores.</w:t>
      </w:r>
    </w:p>
    <w:p>
      <w:pPr>
        <w:pStyle w:val="Heading1"/>
      </w:pPr>
      <w:r>
        <w:t>2.11 Síntese crítica e posicionamento da pesquisa</w:t>
      </w:r>
    </w:p>
    <w:p>
      <w:r>
        <w:t xml:space="preserve">Os métodos revisados têm funções distintas: ARCH-GARCH descreve a atualização da volatilidade; HMM representa estados e transições; LSTM aprende relações temporais; e os backtests avaliam as previsões de risco. Sua combinação acrescenta flexibilidade, mas também parâmetros e incerteza de estimação. Eventuais ganhos precisam ser avaliados diante do tamanho da amostra e da dificuldade de interpretar cada etapa.</w:t>
      </w:r>
    </w:p>
    <w:p>
      <w:r>
        <w:t xml:space="preserve">Fischer e Krauss (2018), De Mel (2026) e Arimond et al. (2026) tratam de problemas diferentes: previsão direcional de ações, VaR com regimes e volatilidade em uma ação, e redes aplicadas a carteiras de índices. Esses estudos fundamentam a comparação proposta, sem antecipar seu resultado. A contribuição deste trabalho está na avaliação da configuração aplicada ao agronegócio brasileiro, sob períodos e informações comparáveis.</w:t>
      </w:r>
    </w:p>
    <w:p>
      <w:r>
        <w:t xml:space="preserve">A comparação começa na definição da exposição. A construção das séries deve manter o significado dos preços, das rolagens e da conversão cambial. Do mesmo modo, a previsão de retorno precisa ser ligada a uma distribuição de perdas compatível. Sem esses cuidados, diferenças atribuídas aos modelos podem decorrer da preparação dos dados ou da avaliação.</w:t>
      </w:r>
    </w:p>
    <w:p>
      <w:r>
        <w:t xml:space="preserve">O Quadro 1 relaciona a literatura às decisões do estudo. Os procedimentos e resultados serão apresentados nos capítulos de metodologia e análise empírica.</w:t>
      </w:r>
    </w:p>
    <w:p>
      <w:pPr>
        <w:keepNext/>
        <w:spacing w:before="180"/>
        <w:ind w:firstLine="0"/>
      </w:pPr>
      <w:r>
        <w:t>Quadro 1 — Relação entre a literatura e as decisões da pesquisa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118"/>
        <w:gridCol w:w="3855"/>
      </w:tblGrid>
      <w:tr>
        <w:trPr>
          <w:cantSplit/>
          <w:tblHeader/>
        </w:trPr>
        <w:tc>
          <w:tcPr>
            <w:tcW w:type="dxa" w:w="2098"/>
            <w:tcMar>
              <w:top w:w="80" w:type="dxa"/>
              <w:left w:w="80" w:type="dxa"/>
              <w:bottom w:w="80" w:type="dxa"/>
              <w:right w:w="80" w:type="dxa"/>
            </w:tcMar>
            <w:vAlign w:val="center"/>
            <w:shd w:fill="E7E6E6"/>
          </w:tcPr>
          <w:p>
            <w:pPr>
              <w:spacing w:line="240" w:lineRule="auto" w:after="100" w:before="100"/>
              <w:ind w:firstLine="0"/>
              <w:jc w:val="left"/>
            </w:pPr>
            <w:r>
              <w:rPr>
                <w:b/>
                <w:sz w:val="20"/>
              </w:rPr>
              <w:t>Questão de pesquisa</w:t>
            </w:r>
          </w:p>
        </w:tc>
        <w:tc>
          <w:tcPr>
            <w:tcW w:type="dxa" w:w="3118"/>
            <w:tcMar>
              <w:top w:w="80" w:type="dxa"/>
              <w:left w:w="80" w:type="dxa"/>
              <w:bottom w:w="80" w:type="dxa"/>
              <w:right w:w="80" w:type="dxa"/>
            </w:tcMar>
            <w:vAlign w:val="center"/>
            <w:shd w:fill="E7E6E6"/>
          </w:tcPr>
          <w:p>
            <w:pPr>
              <w:spacing w:line="240" w:lineRule="auto" w:after="100" w:before="100"/>
              <w:ind w:firstLine="0"/>
              <w:jc w:val="left"/>
            </w:pPr>
            <w:r>
              <w:rPr>
                <w:b/>
                <w:sz w:val="20"/>
              </w:rPr>
              <w:t>Fundamentação principal</w:t>
            </w:r>
          </w:p>
        </w:tc>
        <w:tc>
          <w:tcPr>
            <w:tcW w:type="dxa" w:w="3855"/>
            <w:tcMar>
              <w:top w:w="80" w:type="dxa"/>
              <w:left w:w="80" w:type="dxa"/>
              <w:bottom w:w="80" w:type="dxa"/>
              <w:right w:w="80" w:type="dxa"/>
            </w:tcMar>
            <w:vAlign w:val="center"/>
            <w:shd w:fill="E7E6E6"/>
          </w:tcPr>
          <w:p>
            <w:pPr>
              <w:spacing w:line="240" w:lineRule="auto" w:after="100" w:before="100"/>
              <w:ind w:firstLine="0"/>
              <w:jc w:val="left"/>
            </w:pPr>
            <w:r>
              <w:rPr>
                <w:b/>
                <w:sz w:val="20"/>
              </w:rPr>
              <w:t>Implicação para o estudo</w:t>
            </w:r>
          </w:p>
        </w:tc>
      </w:tr>
      <w:tr>
        <w:trPr>
          <w:cantSplit/>
        </w:trPr>
        <w:tc>
          <w:tcPr>
            <w:tcW w:type="dxa" w:w="2098"/>
            <w:tcMar>
              <w:top w:w="80" w:type="dxa"/>
              <w:left w:w="80" w:type="dxa"/>
              <w:bottom w:w="80" w:type="dxa"/>
              <w:right w:w="80" w:type="dxa"/>
            </w:tcMar>
            <w:vAlign w:val="center"/>
          </w:tcPr>
          <w:p>
            <w:pPr>
              <w:spacing w:line="240" w:lineRule="auto" w:after="100" w:before="100"/>
              <w:ind w:firstLine="0"/>
              <w:jc w:val="left"/>
            </w:pPr>
            <w:r>
              <w:rPr>
                <w:sz w:val="20"/>
              </w:rPr>
              <w:t>O que a carteira representa</w:t>
            </w:r>
          </w:p>
        </w:tc>
        <w:tc>
          <w:tcPr>
            <w:tcW w:type="dxa" w:w="3118"/>
            <w:tcMar>
              <w:top w:w="80" w:type="dxa"/>
              <w:left w:w="80" w:type="dxa"/>
              <w:bottom w:w="80" w:type="dxa"/>
              <w:right w:w="80" w:type="dxa"/>
            </w:tcMar>
            <w:vAlign w:val="center"/>
          </w:tcPr>
          <w:p>
            <w:pPr>
              <w:spacing w:line="240" w:lineRule="auto" w:after="100" w:before="100"/>
              <w:ind w:firstLine="0"/>
              <w:jc w:val="left"/>
            </w:pPr>
            <w:r>
              <w:rPr>
                <w:sz w:val="20"/>
              </w:rPr>
              <w:t>Gorton et al. (2013); Ubilava (2012); CME Group (s.d.)</w:t>
            </w:r>
          </w:p>
        </w:tc>
        <w:tc>
          <w:tcPr>
            <w:tcW w:type="dxa" w:w="3855"/>
            <w:tcMar>
              <w:top w:w="80" w:type="dxa"/>
              <w:left w:w="80" w:type="dxa"/>
              <w:bottom w:w="80" w:type="dxa"/>
              <w:right w:w="80" w:type="dxa"/>
            </w:tcMar>
            <w:vAlign w:val="center"/>
          </w:tcPr>
          <w:p>
            <w:pPr>
              <w:spacing w:line="240" w:lineRule="auto" w:after="100" w:before="100"/>
              <w:ind w:firstLine="0"/>
              <w:jc w:val="left"/>
            </w:pPr>
            <w:r>
              <w:rPr>
                <w:sz w:val="20"/>
              </w:rPr>
              <w:t>Distinguir exposição financeira, referência contínua e preço físico.</w:t>
            </w:r>
          </w:p>
        </w:tc>
      </w:tr>
      <w:tr>
        <w:trPr>
          <w:cantSplit/>
        </w:trPr>
        <w:tc>
          <w:tcPr>
            <w:tcW w:type="dxa" w:w="2098"/>
            <w:tcMar>
              <w:top w:w="80" w:type="dxa"/>
              <w:left w:w="80" w:type="dxa"/>
              <w:bottom w:w="80" w:type="dxa"/>
              <w:right w:w="80" w:type="dxa"/>
            </w:tcMar>
            <w:vAlign w:val="center"/>
            <w:shd w:fill="F7F7F7"/>
          </w:tcPr>
          <w:p>
            <w:pPr>
              <w:spacing w:line="240" w:lineRule="auto" w:after="100" w:before="100"/>
              <w:ind w:firstLine="0"/>
              <w:jc w:val="left"/>
            </w:pPr>
            <w:r>
              <w:rPr>
                <w:sz w:val="20"/>
              </w:rPr>
              <w:t>Como representar volatilidade e estados</w:t>
            </w:r>
          </w:p>
        </w:tc>
        <w:tc>
          <w:tcPr>
            <w:tcW w:type="dxa" w:w="3118"/>
            <w:tcMar>
              <w:top w:w="80" w:type="dxa"/>
              <w:left w:w="80" w:type="dxa"/>
              <w:bottom w:w="80" w:type="dxa"/>
              <w:right w:w="80" w:type="dxa"/>
            </w:tcMar>
            <w:vAlign w:val="center"/>
            <w:shd w:fill="F7F7F7"/>
          </w:tcPr>
          <w:p>
            <w:pPr>
              <w:spacing w:line="240" w:lineRule="auto" w:after="100" w:before="100"/>
              <w:ind w:firstLine="0"/>
              <w:jc w:val="left"/>
            </w:pPr>
            <w:r>
              <w:rPr>
                <w:sz w:val="20"/>
              </w:rPr>
              <w:t>Bollerslev (1986); Hamilton (1989); Haas et al. (2004)</w:t>
            </w:r>
          </w:p>
        </w:tc>
        <w:tc>
          <w:tcPr>
            <w:tcW w:type="dxa" w:w="3855"/>
            <w:tcMar>
              <w:top w:w="80" w:type="dxa"/>
              <w:left w:w="80" w:type="dxa"/>
              <w:bottom w:w="80" w:type="dxa"/>
              <w:right w:w="80" w:type="dxa"/>
            </w:tcMar>
            <w:vAlign w:val="center"/>
            <w:shd w:fill="F7F7F7"/>
          </w:tcPr>
          <w:p>
            <w:pPr>
              <w:spacing w:line="240" w:lineRule="auto" w:after="100" w:before="100"/>
              <w:ind w:firstLine="0"/>
              <w:jc w:val="left"/>
            </w:pPr>
            <w:r>
              <w:rPr>
                <w:sz w:val="20"/>
              </w:rPr>
              <w:t>Comparar dinâmicas de variância e regimes sem presumir superioridade.</w:t>
            </w:r>
          </w:p>
        </w:tc>
      </w:tr>
      <w:tr>
        <w:trPr>
          <w:cantSplit/>
        </w:trPr>
        <w:tc>
          <w:tcPr>
            <w:tcW w:type="dxa" w:w="2098"/>
            <w:tcMar>
              <w:top w:w="80" w:type="dxa"/>
              <w:left w:w="80" w:type="dxa"/>
              <w:bottom w:w="80" w:type="dxa"/>
              <w:right w:w="80" w:type="dxa"/>
            </w:tcMar>
            <w:vAlign w:val="center"/>
          </w:tcPr>
          <w:p>
            <w:pPr>
              <w:spacing w:line="240" w:lineRule="auto" w:after="100" w:before="100"/>
              <w:ind w:firstLine="0"/>
              <w:jc w:val="left"/>
            </w:pPr>
            <w:r>
              <w:rPr>
                <w:sz w:val="20"/>
              </w:rPr>
              <w:t>O que a rede efetivamente prevê</w:t>
            </w:r>
          </w:p>
        </w:tc>
        <w:tc>
          <w:tcPr>
            <w:tcW w:type="dxa" w:w="3118"/>
            <w:tcMar>
              <w:top w:w="80" w:type="dxa"/>
              <w:left w:w="80" w:type="dxa"/>
              <w:bottom w:w="80" w:type="dxa"/>
              <w:right w:w="80" w:type="dxa"/>
            </w:tcMar>
            <w:vAlign w:val="center"/>
          </w:tcPr>
          <w:p>
            <w:pPr>
              <w:spacing w:line="240" w:lineRule="auto" w:after="100" w:before="100"/>
              <w:ind w:firstLine="0"/>
              <w:jc w:val="left"/>
            </w:pPr>
            <w:r>
              <w:rPr>
                <w:sz w:val="20"/>
              </w:rPr>
              <w:t>Fischer e Krauss (2018); De Mel (2026)</w:t>
            </w:r>
          </w:p>
        </w:tc>
        <w:tc>
          <w:tcPr>
            <w:tcW w:type="dxa" w:w="3855"/>
            <w:tcMar>
              <w:top w:w="80" w:type="dxa"/>
              <w:left w:w="80" w:type="dxa"/>
              <w:bottom w:w="80" w:type="dxa"/>
              <w:right w:w="80" w:type="dxa"/>
            </w:tcMar>
            <w:vAlign w:val="center"/>
          </w:tcPr>
          <w:p>
            <w:pPr>
              <w:spacing w:line="240" w:lineRule="auto" w:after="100" w:before="100"/>
              <w:ind w:firstLine="0"/>
              <w:jc w:val="left"/>
            </w:pPr>
            <w:r>
              <w:rPr>
                <w:sz w:val="20"/>
              </w:rPr>
              <w:t>Separar retorno, volatilidade e quantil na escolha do alvo.</w:t>
            </w:r>
          </w:p>
        </w:tc>
      </w:tr>
      <w:tr>
        <w:trPr>
          <w:cantSplit/>
        </w:trPr>
        <w:tc>
          <w:tcPr>
            <w:tcW w:type="dxa" w:w="2098"/>
            <w:tcMar>
              <w:top w:w="80" w:type="dxa"/>
              <w:left w:w="80" w:type="dxa"/>
              <w:bottom w:w="80" w:type="dxa"/>
              <w:right w:w="80" w:type="dxa"/>
            </w:tcMar>
            <w:vAlign w:val="center"/>
            <w:shd w:fill="F7F7F7"/>
          </w:tcPr>
          <w:p>
            <w:pPr>
              <w:spacing w:line="240" w:lineRule="auto" w:after="100" w:before="100"/>
              <w:ind w:firstLine="0"/>
              <w:jc w:val="left"/>
            </w:pPr>
            <w:r>
              <w:rPr>
                <w:sz w:val="20"/>
              </w:rPr>
              <w:t>Como passar da previsão para o risco</w:t>
            </w:r>
          </w:p>
        </w:tc>
        <w:tc>
          <w:tcPr>
            <w:tcW w:type="dxa" w:w="3118"/>
            <w:tcMar>
              <w:top w:w="80" w:type="dxa"/>
              <w:left w:w="80" w:type="dxa"/>
              <w:bottom w:w="80" w:type="dxa"/>
              <w:right w:w="80" w:type="dxa"/>
            </w:tcMar>
            <w:vAlign w:val="center"/>
            <w:shd w:fill="F7F7F7"/>
          </w:tcPr>
          <w:p>
            <w:pPr>
              <w:spacing w:line="240" w:lineRule="auto" w:after="100" w:before="100"/>
              <w:ind w:firstLine="0"/>
              <w:jc w:val="left"/>
            </w:pPr>
            <w:r>
              <w:rPr>
                <w:sz w:val="20"/>
              </w:rPr>
              <w:t>Acerbi e Tasche (2002); Gal e Ghahramani (2016); Hull e White (1998)</w:t>
            </w:r>
          </w:p>
        </w:tc>
        <w:tc>
          <w:tcPr>
            <w:tcW w:type="dxa" w:w="3855"/>
            <w:tcMar>
              <w:top w:w="80" w:type="dxa"/>
              <w:left w:w="80" w:type="dxa"/>
              <w:bottom w:w="80" w:type="dxa"/>
              <w:right w:w="80" w:type="dxa"/>
            </w:tcMar>
            <w:vAlign w:val="center"/>
            <w:shd w:fill="F7F7F7"/>
          </w:tcPr>
          <w:p>
            <w:pPr>
              <w:spacing w:line="240" w:lineRule="auto" w:after="100" w:before="100"/>
              <w:ind w:firstLine="0"/>
              <w:jc w:val="left"/>
            </w:pPr>
            <w:r>
              <w:rPr>
                <w:sz w:val="20"/>
              </w:rPr>
              <w:t>Representar a variabilidade dos retornos e justificar a cauda.</w:t>
            </w:r>
          </w:p>
        </w:tc>
      </w:tr>
      <w:tr>
        <w:trPr>
          <w:cantSplit/>
        </w:trPr>
        <w:tc>
          <w:tcPr>
            <w:tcW w:type="dxa" w:w="2098"/>
            <w:tcMar>
              <w:top w:w="80" w:type="dxa"/>
              <w:left w:w="80" w:type="dxa"/>
              <w:bottom w:w="80" w:type="dxa"/>
              <w:right w:w="80" w:type="dxa"/>
            </w:tcMar>
            <w:vAlign w:val="center"/>
          </w:tcPr>
          <w:p>
            <w:pPr>
              <w:spacing w:line="240" w:lineRule="auto" w:after="100" w:before="100"/>
              <w:ind w:firstLine="0"/>
              <w:jc w:val="left"/>
            </w:pPr>
            <w:r>
              <w:rPr>
                <w:sz w:val="20"/>
              </w:rPr>
              <w:t>Como avaliar previsões concorrentes</w:t>
            </w:r>
          </w:p>
        </w:tc>
        <w:tc>
          <w:tcPr>
            <w:tcW w:type="dxa" w:w="3118"/>
            <w:tcMar>
              <w:top w:w="80" w:type="dxa"/>
              <w:left w:w="80" w:type="dxa"/>
              <w:bottom w:w="80" w:type="dxa"/>
              <w:right w:w="80" w:type="dxa"/>
            </w:tcMar>
            <w:vAlign w:val="center"/>
          </w:tcPr>
          <w:p>
            <w:pPr>
              <w:spacing w:line="240" w:lineRule="auto" w:after="100" w:before="100"/>
              <w:ind w:firstLine="0"/>
              <w:jc w:val="left"/>
            </w:pPr>
            <w:r>
              <w:rPr>
                <w:sz w:val="20"/>
              </w:rPr>
              <w:t>Kupiec (1995); Christoffersen (1998); Fissler e Ziegel (2016)</w:t>
            </w:r>
          </w:p>
        </w:tc>
        <w:tc>
          <w:tcPr>
            <w:tcW w:type="dxa" w:w="3855"/>
            <w:tcMar>
              <w:top w:w="80" w:type="dxa"/>
              <w:left w:w="80" w:type="dxa"/>
              <w:bottom w:w="80" w:type="dxa"/>
              <w:right w:w="80" w:type="dxa"/>
            </w:tcMar>
            <w:vAlign w:val="center"/>
          </w:tcPr>
          <w:p>
            <w:pPr>
              <w:spacing w:line="240" w:lineRule="auto" w:after="100" w:before="100"/>
              <w:ind w:firstLine="0"/>
              <w:jc w:val="left"/>
            </w:pPr>
            <w:r>
              <w:rPr>
                <w:sz w:val="20"/>
              </w:rPr>
              <w:t>Examinar cobertura, dependência e qualidade das medidas de cauda.</w:t>
            </w:r>
          </w:p>
        </w:tc>
      </w:tr>
      <w:tr>
        <w:trPr>
          <w:cantSplit/>
        </w:trPr>
        <w:tc>
          <w:tcPr>
            <w:tcW w:type="dxa" w:w="2098"/>
            <w:tcMar>
              <w:top w:w="80" w:type="dxa"/>
              <w:left w:w="80" w:type="dxa"/>
              <w:bottom w:w="80" w:type="dxa"/>
              <w:right w:w="80" w:type="dxa"/>
            </w:tcMar>
            <w:vAlign w:val="center"/>
            <w:shd w:fill="F7F7F7"/>
          </w:tcPr>
          <w:p>
            <w:pPr>
              <w:spacing w:line="240" w:lineRule="auto" w:after="100" w:before="100"/>
              <w:ind w:firstLine="0"/>
              <w:jc w:val="left"/>
            </w:pPr>
            <w:r>
              <w:rPr>
                <w:sz w:val="20"/>
              </w:rPr>
              <w:t>Como interpretar ganhos e limites</w:t>
            </w:r>
          </w:p>
        </w:tc>
        <w:tc>
          <w:tcPr>
            <w:tcW w:type="dxa" w:w="3118"/>
            <w:tcMar>
              <w:top w:w="80" w:type="dxa"/>
              <w:left w:w="80" w:type="dxa"/>
              <w:bottom w:w="80" w:type="dxa"/>
              <w:right w:w="80" w:type="dxa"/>
            </w:tcMar>
            <w:vAlign w:val="center"/>
            <w:shd w:fill="F7F7F7"/>
          </w:tcPr>
          <w:p>
            <w:pPr>
              <w:spacing w:line="240" w:lineRule="auto" w:after="100" w:before="100"/>
              <w:ind w:firstLine="0"/>
              <w:jc w:val="left"/>
            </w:pPr>
            <w:r>
              <w:rPr>
                <w:sz w:val="20"/>
              </w:rPr>
              <w:t>Diebold e Mariano (1995); Janzing et al. (2020)</w:t>
            </w:r>
          </w:p>
        </w:tc>
        <w:tc>
          <w:tcPr>
            <w:tcW w:type="dxa" w:w="3855"/>
            <w:tcMar>
              <w:top w:w="80" w:type="dxa"/>
              <w:left w:w="80" w:type="dxa"/>
              <w:bottom w:w="80" w:type="dxa"/>
              <w:right w:w="80" w:type="dxa"/>
            </w:tcMar>
            <w:vAlign w:val="center"/>
            <w:shd w:fill="F7F7F7"/>
          </w:tcPr>
          <w:p>
            <w:pPr>
              <w:spacing w:line="240" w:lineRule="auto" w:after="100" w:before="100"/>
              <w:ind w:firstLine="0"/>
              <w:jc w:val="left"/>
            </w:pPr>
            <w:r>
              <w:rPr>
                <w:sz w:val="20"/>
              </w:rPr>
              <w:t>Distinguir precisão preditiva, não inferioridade e explicação causal.</w:t>
            </w:r>
          </w:p>
        </w:tc>
      </w:tr>
    </w:tbl>
    <w:p>
      <w:pPr>
        <w:spacing w:after="240"/>
        <w:ind w:firstLine="0"/>
      </w:pPr>
      <w:r>
        <w:rPr>
          <w:sz w:val="20"/>
        </w:rPr>
        <w:t>Fonte: elaboração do autor a partir das referências indicadas.</w:t>
      </w:r>
    </w:p>
    <w:p>
      <w:r>
        <w:t xml:space="preserve">A pesquisa examina se a informação de regime melhora a previsão do risco frente a modelos que utilizam informações comparáveis. A resposta depende da consistência dos dados e da avaliação conjunta de cobertura, dependência e severidade das perdas. Ganhos restritos a certos períodos, ausência de melhora e vantagem de um modelo mais simples são resultados possíveis dessa comparação.</w:t>
      </w:r>
    </w:p>
    <w:p>
      <w:r>
        <w:br w:type="page"/>
      </w:r>
    </w:p>
    <w:p>
      <w:pPr>
        <w:pStyle w:val="Heading1"/>
      </w:pPr>
      <w:r>
        <w:t>REFERÊNCIAS</w:t>
      </w:r>
    </w:p>
    <w:p>
      <w:pPr>
        <w:keepLines/>
        <w:spacing w:line="240" w:lineRule="auto" w:after="240"/>
        <w:ind w:firstLine="0"/>
        <w:jc w:val="left"/>
      </w:pPr>
      <w:r>
        <w:t>ACERBI, Carlo; TASCHE, Dirk. On the coherence of expected shortfall. Journal of Banking &amp; Finance, v. 26, n. 7, p. 1487–1503, 2002. DOI: https://doi.org/10.1016/S0378-4266(02)00283-2. Disponível em: https://arxiv.org/abs/cond-mat/0104295. Acesso em: 19 out. 2026.</w:t>
      </w:r>
    </w:p>
    <w:p>
      <w:pPr>
        <w:keepLines/>
        <w:spacing w:line="240" w:lineRule="auto" w:after="240"/>
        <w:ind w:firstLine="0"/>
        <w:jc w:val="left"/>
      </w:pPr>
      <w:r>
        <w:t>ACERBI, Carlo; SZÉKELY, Balázs. Backtesting expected shortfall. New York: MSCI, 2014. Disponível em: https://www.msci.com/documents/10199/22aa9922-f874-4060-b77a-0f0e267a489b. Acesso em: 19 out. 2026.</w:t>
      </w:r>
    </w:p>
    <w:p>
      <w:pPr>
        <w:keepLines/>
        <w:spacing w:line="240" w:lineRule="auto" w:after="240"/>
        <w:ind w:firstLine="0"/>
        <w:jc w:val="left"/>
      </w:pPr>
      <w:r>
        <w:t>ARDIA, David; BLUTEAU, Keven; BOUDT, Kris; CATANIA, Leopoldo; TROTTIER, Denis-Alexandre. Markov-switching GARCH models in R: the MSGARCH package. Journal of Statistical Software, v. 91, n. 4, p. 1–38, 2019. DOI: https://doi.org/10.18637/jss.v091.i04. Disponível em: https://www.jstatsoft.org/article/view/v091i04. Acesso em: 19 out. 2026.</w:t>
      </w:r>
    </w:p>
    <w:p>
      <w:pPr>
        <w:keepLines/>
        <w:spacing w:line="240" w:lineRule="auto" w:after="240"/>
        <w:ind w:firstLine="0"/>
        <w:jc w:val="left"/>
      </w:pPr>
      <w:r>
        <w:t>ARIMOND, Alexander et al. Neural networks and value at risk in asset management. Review of Quantitative Finance and Accounting, v. 67, p. 277–316, 2026. DOI: https://doi.org/10.1007/s11156-025-01460-y. Disponível em: https://link.springer.com/article/10.1007/s11156-025-01460-y. Acesso em: 19 out. 2026.</w:t>
      </w:r>
    </w:p>
    <w:p>
      <w:pPr>
        <w:keepLines/>
        <w:spacing w:line="240" w:lineRule="auto" w:after="240"/>
        <w:ind w:firstLine="0"/>
        <w:jc w:val="left"/>
      </w:pPr>
      <w:r>
        <w:t>BOLLERSLEV, Tim. Generalized autoregressive conditional heteroskedasticity. Journal of Econometrics, v. 31, n. 3, p. 307–327, 1986. DOI: https://doi.org/10.1016/0304-4076(86)90063-1. Disponível em: https://public.econ.duke.edu/~boller/Published_Papers/joe_86.pdf. Acesso em: 19 out. 2026.</w:t>
      </w:r>
    </w:p>
    <w:p>
      <w:pPr>
        <w:keepLines/>
        <w:spacing w:line="240" w:lineRule="auto" w:after="240"/>
        <w:ind w:firstLine="0"/>
        <w:jc w:val="left"/>
      </w:pPr>
      <w:r>
        <w:t>CAMPANI, Carlos Heitor; DURÃES, Assis Gustavo da Silva. Forecasting USD-BRL currency rate volatility using realized and implied volatilities data. Estudos Econômicos, v. 48, n. 4, p. 687–719, 2018. DOI: https://doi.org/10.1590/0101-41614845cca. Disponível em: https://revistas.usp.br/ee/article/view/131900. Acesso em: 19 out. 2026.</w:t>
      </w:r>
    </w:p>
    <w:p>
      <w:pPr>
        <w:keepLines/>
        <w:spacing w:line="240" w:lineRule="auto" w:after="240"/>
        <w:ind w:firstLine="0"/>
        <w:jc w:val="left"/>
      </w:pPr>
      <w:r>
        <w:t>CBOE GLOBAL MARKETS. Cboe VIX FAQ. Chicago: Cboe, [s.d.]. Disponível em: https://www.cboe.com/tradable_products/vix/faqs. Acesso em: 19 out. 2026.</w:t>
      </w:r>
    </w:p>
    <w:p>
      <w:pPr>
        <w:keepLines/>
        <w:spacing w:line="240" w:lineRule="auto" w:after="240"/>
        <w:ind w:firstLine="0"/>
        <w:jc w:val="left"/>
      </w:pPr>
      <w:r>
        <w:t>CENTRO DE ESTUDOS AVANÇADOS EM ECONOMIA APLICADA (CEPEA). Metodologia da Soja CEPEA/ESALQ — Paranaguá. Piracicaba: Esalq/USP, [s.d.]. Disponível em: https://cepea.org.br/br/metodologia/metodologia-da-soja-esalq-bm-fbovespa-paranagua.aspx. Acesso em: 19 out. 2026.</w:t>
      </w:r>
    </w:p>
    <w:p>
      <w:pPr>
        <w:keepLines/>
        <w:spacing w:line="240" w:lineRule="auto" w:after="240"/>
        <w:ind w:firstLine="0"/>
        <w:jc w:val="left"/>
      </w:pPr>
      <w:r>
        <w:t>CHRISTOFFERSEN, Peter F. Evaluating interval forecasts. International Economic Review, v. 39, n. 4, p. 841–862, 1998. DOI: https://doi.org/10.2307/2527341. Disponível em: https://christoffersen.com/academic-papers/. Acesso em: 19 out. 2026.</w:t>
      </w:r>
    </w:p>
    <w:p>
      <w:pPr>
        <w:keepLines/>
        <w:spacing w:line="240" w:lineRule="auto" w:after="240"/>
        <w:ind w:firstLine="0"/>
        <w:jc w:val="left"/>
      </w:pPr>
      <w:r>
        <w:t>CME GROUP. Understanding futures expiration and contract roll. Chicago: CME Group, [s.d.]. Disponível em: https://www.cmegroup.com/education/courses/introduction-to-futures/understanding-futures-expiration-contract-roll. Acesso em: 19 out. 2026.</w:t>
      </w:r>
    </w:p>
    <w:p>
      <w:pPr>
        <w:keepLines/>
        <w:spacing w:line="240" w:lineRule="auto" w:after="240"/>
        <w:ind w:firstLine="0"/>
        <w:jc w:val="left"/>
      </w:pPr>
      <w:r>
        <w:t>CONT, Rama. Empirical properties of asset returns: stylized facts and statistical issues. Quantitative Finance, v. 1, n. 2, p. 223–236, 2001. DOI: https://doi.org/10.1080/713665670. Disponível em: https://doi.org/10.1080/713665670. Acesso em: 19 out. 2026.</w:t>
      </w:r>
    </w:p>
    <w:p>
      <w:pPr>
        <w:keepLines/>
        <w:spacing w:line="240" w:lineRule="auto" w:after="240"/>
        <w:ind w:firstLine="0"/>
        <w:jc w:val="left"/>
      </w:pPr>
      <w:r>
        <w:t>CORWIN, Shane A.; SCHULTZ, Paul. A simple way to estimate bid-ask spreads from daily high and low prices. The Journal of Finance, v. 67, n. 2, p. 719–760, 2012. DOI: https://doi.org/10.1111/j.1540-6261.2012.01729.x. Disponível em: https://onlinelibrary.wiley.com/doi/abs/10.1111/j.1540-6261.2012.01729.x. Acesso em: 19 out. 2026.</w:t>
      </w:r>
    </w:p>
    <w:p>
      <w:pPr>
        <w:keepLines/>
        <w:spacing w:line="240" w:lineRule="auto" w:after="240"/>
        <w:ind w:firstLine="0"/>
        <w:jc w:val="left"/>
      </w:pPr>
      <w:r>
        <w:t>DE MEL, W. A. R. Value at risk of stock market returns using a hidden Markov–LSTM hybrid model. Sri Lankan Journal of Applied Statistics, v. 27, n. 1, p. 118–131, 2026. DOI: https://doi.org/10.4038/sljas.v27i1.8231. Disponível em: https://reference-global.com/article/10.4038/sljas.v27i1.8231. Acesso em: 19 out. 2026.</w:t>
      </w:r>
    </w:p>
    <w:p>
      <w:pPr>
        <w:keepLines/>
        <w:spacing w:line="240" w:lineRule="auto" w:after="240"/>
        <w:ind w:firstLine="0"/>
        <w:jc w:val="left"/>
      </w:pPr>
      <w:r>
        <w:t>DIEBOLD, Francis X.; MARIANO, Roberto S. Comparing predictive accuracy. Journal of Business &amp; Economic Statistics, v. 13, n. 3, p. 253–263, 1995. DOI: https://doi.org/10.1080/07350015.1995.10524599. Disponível em: https://ink.library.smu.edu.sg/soe_research/347/. Acesso em: 19 out. 2026.</w:t>
      </w:r>
    </w:p>
    <w:p>
      <w:pPr>
        <w:keepLines/>
        <w:spacing w:line="240" w:lineRule="auto" w:after="240"/>
        <w:ind w:firstLine="0"/>
        <w:jc w:val="left"/>
      </w:pPr>
      <w:r>
        <w:t>ENGLE, Robert F. Autoregressive conditional heteroscedasticity with estimates of the variance of United Kingdom inflation. Econometrica, v. 50, n. 4, p. 987–1007, 1982. DOI: https://doi.org/10.2307/1912773. Disponível em: https://www.jstor.org/stable/1912773. Acesso em: 19 out. 2026.</w:t>
      </w:r>
    </w:p>
    <w:p>
      <w:pPr>
        <w:keepLines/>
        <w:spacing w:line="240" w:lineRule="auto" w:after="240"/>
        <w:ind w:firstLine="0"/>
        <w:jc w:val="left"/>
      </w:pPr>
      <w:r>
        <w:t>ENGLE, Robert F.; MANGANELLI, Simone. CAViaR: conditional autoregressive value at risk by regression quantiles. Journal of Business &amp; Economic Statistics, v. 22, n. 4, p. 367–381, 2004. DOI: https://doi.org/10.1198/073500104000000370. Disponível em: https://www.simonemanganelli.org/Simone/Research_files/caviarPublished.pdf. Acesso em: 19 out. 2026.</w:t>
      </w:r>
    </w:p>
    <w:p>
      <w:pPr>
        <w:keepLines/>
        <w:spacing w:line="240" w:lineRule="auto" w:after="240"/>
        <w:ind w:firstLine="0"/>
        <w:jc w:val="left"/>
      </w:pPr>
      <w:r>
        <w:t>FISCHER, Thomas; KRAUSS, Christopher. Deep learning with long short-term memory networks for financial market predictions. European Journal of Operational Research, v. 270, n. 2, p. 654–669, 2018. DOI: https://doi.org/10.1016/j.ejor.2017.11.054. Disponível em: https://cris.fau.de/publications/208534319/. Acesso em: 19 out. 2026.</w:t>
      </w:r>
    </w:p>
    <w:p>
      <w:pPr>
        <w:keepLines/>
        <w:spacing w:line="240" w:lineRule="auto" w:after="240"/>
        <w:ind w:firstLine="0"/>
        <w:jc w:val="left"/>
      </w:pPr>
      <w:r>
        <w:t>FISSLER, Tobias; ZIEGEL, Johanna F. Higher order elicitability and Osband’s principle. The Annals of Statistics, v. 44, n. 4, p. 1680–1707, 2016. DOI: https://doi.org/10.1214/16-AOS1439. Disponível em: https://arxiv.org/abs/1503.08123. Acesso em: 19 out. 2026.</w:t>
      </w:r>
    </w:p>
    <w:p>
      <w:pPr>
        <w:keepLines/>
        <w:spacing w:line="240" w:lineRule="auto" w:after="240"/>
        <w:ind w:firstLine="0"/>
        <w:jc w:val="left"/>
      </w:pPr>
      <w:r>
        <w:t>GAL, Yarin; GHAHRAMANI, Zoubin. Dropout as a Bayesian approximation: representing model uncertainty in deep learning. In: INTERNATIONAL CONFERENCE ON MACHINE LEARNING, 33., 2016, New York. Proceedings [...]. PMLR, v. 48, p. 1050–1059, 2016. Disponível em: https://proceedings.mlr.press/v48/gal16.html. Acesso em: 19 out. 2026.</w:t>
      </w:r>
    </w:p>
    <w:p>
      <w:pPr>
        <w:keepLines/>
        <w:spacing w:line="240" w:lineRule="auto" w:after="240"/>
        <w:ind w:firstLine="0"/>
        <w:jc w:val="left"/>
      </w:pPr>
      <w:r>
        <w:t>GARMAN, Mark B.; KLASS, Michael J. On the estimation of security price volatilities from historical data. The Journal of Business, v. 53, n. 1, p. 67–78, 1980. DOI: https://doi.org/10.1086/296072. Disponível em: https://doi.org/10.1086/296072. Acesso em: 19 out. 2026.</w:t>
      </w:r>
    </w:p>
    <w:p>
      <w:pPr>
        <w:keepLines/>
        <w:spacing w:line="240" w:lineRule="auto" w:after="240"/>
        <w:ind w:firstLine="0"/>
        <w:jc w:val="left"/>
      </w:pPr>
      <w:r>
        <w:t>GERS, Felix A.; SCHMIDHUBER, Jürgen; CUMMINS, Fred. Learning to forget: continual prediction with LSTM. Neural Computation, v. 12, n. 10, p. 2451–2471, 2000. DOI: https://doi.org/10.1162/089976600300015015. Disponível em: https://doi.org/10.1162/089976600300015015. Acesso em: 19 out. 2026.</w:t>
      </w:r>
    </w:p>
    <w:p>
      <w:pPr>
        <w:keepLines/>
        <w:spacing w:line="240" w:lineRule="auto" w:after="240"/>
        <w:ind w:firstLine="0"/>
        <w:jc w:val="left"/>
      </w:pPr>
      <w:r>
        <w:t>GORTON, Gary B.; HAYASHI, Fumio; ROUWENHORST, K. Geert. The fundamentals of commodity futures returns. Review of Finance, v. 17, n. 1, p. 35–105, 2013. DOI: https://doi.org/10.1093/rof/rfs019. Disponível em: https://faculty.som.yale.edu/garygorton/commodity-futures/. Acesso em: 19 out. 2026.</w:t>
      </w:r>
    </w:p>
    <w:p>
      <w:pPr>
        <w:keepLines/>
        <w:spacing w:line="240" w:lineRule="auto" w:after="240"/>
        <w:ind w:firstLine="0"/>
        <w:jc w:val="left"/>
      </w:pPr>
      <w:r>
        <w:t>HAAS, Markus; MITTNIK, Stefan; PAOLELLA, Marc S. A new approach to Markov-switching GARCH models. Journal of Financial Econometrics, v. 2, n. 4, p. 493–530, 2004. DOI: https://doi.org/10.1093/jjfinec/nbh020. Disponível em: https://doi.org/10.1093/jjfinec/nbh020. Acesso em: 19 out. 2026.</w:t>
      </w:r>
    </w:p>
    <w:p>
      <w:pPr>
        <w:keepLines/>
        <w:spacing w:line="240" w:lineRule="auto" w:after="240"/>
        <w:ind w:firstLine="0"/>
        <w:jc w:val="left"/>
      </w:pPr>
      <w:r>
        <w:t>HAMILTON, James D. A new approach to the economic analysis of nonstationary time series and the business cycle. Econometrica, v. 57, n. 2, p. 357–384, 1989. DOI: https://doi.org/10.2307/1912559. Disponível em: https://www.jstor.org/stable/1912559. Acesso em: 19 out. 2026.</w:t>
      </w:r>
    </w:p>
    <w:p>
      <w:pPr>
        <w:keepLines/>
        <w:spacing w:line="240" w:lineRule="auto" w:after="240"/>
        <w:ind w:firstLine="0"/>
        <w:jc w:val="left"/>
      </w:pPr>
      <w:r>
        <w:t>HOCHREITER, Sepp; SCHMIDHUBER, Jürgen. Long short-term memory. Neural Computation, v. 9, n. 8, p. 1735–1780, 1997. DOI: https://doi.org/10.1162/neco.1997.9.8.1735. Disponível em: https://direct.mit.edu/neco/article/9/8/1735/6109/Long-Short-Term-Memory. Acesso em: 19 out. 2026.</w:t>
      </w:r>
    </w:p>
    <w:p>
      <w:pPr>
        <w:keepLines/>
        <w:spacing w:line="240" w:lineRule="auto" w:after="240"/>
        <w:ind w:firstLine="0"/>
        <w:jc w:val="left"/>
      </w:pPr>
      <w:r>
        <w:t>HULL, John; WHITE, Alan. Incorporating volatility updating into the historical simulation method for value-at-risk. Journal of Risk, v. 1, n. 1, p. 5–19, 1998. DOI: https://doi.org/10.21314/JOR.1998.001. Disponível em: https://www-2.rotman.utoronto.ca/~hull/downloadablepublications/VaR_VolUpdating.pdf. Acesso em: 19 out. 2026.</w:t>
      </w:r>
    </w:p>
    <w:p>
      <w:pPr>
        <w:keepLines/>
        <w:spacing w:line="240" w:lineRule="auto" w:after="240"/>
        <w:ind w:firstLine="0"/>
        <w:jc w:val="left"/>
      </w:pPr>
      <w:r>
        <w:t>HYNDMAN, Rob J.; ATHANASOPOULOS, George. Forecasting: principles and practice. 3. ed. Melbourne: OTexts, 2021. Disponível em: https://otexts.com/fpp3/tscv.html. Acesso em: 19 out. 2026.</w:t>
      </w:r>
    </w:p>
    <w:p>
      <w:pPr>
        <w:keepLines/>
        <w:spacing w:line="240" w:lineRule="auto" w:after="240"/>
        <w:ind w:firstLine="0"/>
        <w:jc w:val="left"/>
      </w:pPr>
      <w:r>
        <w:t>JANZING, Dominik; MINORICS, Lenon; BLÖBAUM, Patrick. Feature relevance quantification in explainable AI: a causal problem. In: INTERNATIONAL CONFERENCE ON ARTIFICIAL INTELLIGENCE AND STATISTICS, 23., 2020. Proceedings [...]. PMLR, v. 108, p. 2907–2916, 2020. Disponível em: https://proceedings.mlr.press/v108/janzing20a.html. Acesso em: 19 out. 2026.</w:t>
      </w:r>
    </w:p>
    <w:p>
      <w:pPr>
        <w:keepLines/>
        <w:spacing w:line="240" w:lineRule="auto" w:after="240"/>
        <w:ind w:firstLine="0"/>
        <w:jc w:val="left"/>
      </w:pPr>
      <w:r>
        <w:t>KENDALL, Alex; GAL, Yarin. What uncertainties do we need in Bayesian deep learning for computer vision? In: ADVANCES IN NEURAL INFORMATION PROCESSING SYSTEMS, v. 30, 2017. Proceedings [...]. Curran Associates, 2017. Disponível em: https://arxiv.org/abs/1703.04977. Acesso em: 19 out. 2026.</w:t>
      </w:r>
    </w:p>
    <w:p>
      <w:pPr>
        <w:keepLines/>
        <w:spacing w:line="240" w:lineRule="auto" w:after="240"/>
        <w:ind w:firstLine="0"/>
        <w:jc w:val="left"/>
      </w:pPr>
      <w:r>
        <w:t>KUPIEC, Paul H. Techniques for verifying the accuracy of risk measurement models. The Journal of Derivatives, v. 3, n. 2, p. 73–84, 1995. DOI: https://doi.org/10.3905/jod.1995.407942. Disponível em: https://papers.ssrn.com/sol3/papers.cfm?abstract_id=7065. Acesso em: 19 out. 2026.</w:t>
      </w:r>
    </w:p>
    <w:p>
      <w:pPr>
        <w:keepLines/>
        <w:spacing w:line="240" w:lineRule="auto" w:after="240"/>
        <w:ind w:firstLine="0"/>
        <w:jc w:val="left"/>
      </w:pPr>
      <w:r>
        <w:t>LUNDBERG, Scott M.; LEE, Su-In. A unified approach to interpreting model predictions. In: ADVANCES IN NEURAL INFORMATION PROCESSING SYSTEMS, v. 30, 2017. Proceedings [...]. Curran Associates, 2017. Disponível em: https://proceedings.neurips.cc/paper_files/paper/2017/hash/8a20a8621978632d76c43dfd28b67767-Abstract.html. Acesso em: 19 out. 2026.</w:t>
      </w:r>
    </w:p>
    <w:p>
      <w:pPr>
        <w:keepLines/>
        <w:spacing w:line="240" w:lineRule="auto" w:after="240"/>
        <w:ind w:firstLine="0"/>
        <w:jc w:val="left"/>
      </w:pPr>
      <w:r>
        <w:t>RABINER, Lawrence R. A tutorial on hidden Markov models and selected applications in speech recognition. Proceedings of the IEEE, v. 77, n. 2, p. 257–286, 1989. DOI: https://doi.org/10.1109/5.18626. Disponível em: https://web.ece.ucsb.edu/Faculty/Rabiner/ece259/Reprints/tutorial%20on%20hmm%20and%20applications.pdf. Acesso em: 19 out. 2026.</w:t>
      </w:r>
    </w:p>
    <w:p>
      <w:pPr>
        <w:keepLines/>
        <w:spacing w:line="240" w:lineRule="auto" w:after="240"/>
        <w:ind w:firstLine="0"/>
        <w:jc w:val="left"/>
      </w:pPr>
      <w:r>
        <w:t>TAYLOR, James W. Forecasting value at risk and expected shortfall using a semiparametric approach based on the asymmetric Laplace distribution. Journal of Business &amp; Economic Statistics, v. 37, n. 1, p. 121–133, 2019. DOI: https://doi.org/10.1080/07350015.2017.1281815. Disponível em: https://users.ox.ac.uk/~mast0315/. Acesso em: 19 out. 2026.</w:t>
      </w:r>
    </w:p>
    <w:p>
      <w:pPr>
        <w:keepLines/>
        <w:spacing w:line="240" w:lineRule="auto" w:after="240"/>
        <w:ind w:firstLine="0"/>
        <w:jc w:val="left"/>
      </w:pPr>
      <w:r>
        <w:t>UBILAVA, David. El Niño, La Niña, and world coffee price dynamics. Agricultural Economics, v. 43, n. 1, p. 17–26, 2012. DOI: https://doi.org/10.1111/j.1574-0862.2011.00562.x. Disponível em: https://onlinelibrary.wiley.com/doi/10.1111/j.1574-0862.2011.00562.x. Acesso em: 19 out. 2026.</w:t>
      </w:r>
    </w:p>
    <w:sectPr w:rsidR="00FC693F" w:rsidRPr="0006063C" w:rsidSect="00034616">
      <w:footerReference w:type="default" r:id="rId9"/>
      <w:pgSz w:w="11906" w:h="16838"/>
      <w:pgMar w:top="1701" w:right="1134"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jc w:val="both"/>
    </w:pPr>
    <w:rPr>
      <w:rFonts w:ascii="Times New Roman" w:hAnsi="Times New Roman" w:cs="Times New Roman" w:eastAsia="Times New Roman"/>
      <w:b w:val="0"/>
      <w:color w:val="000000"/>
      <w:sz w:val="24"/>
      <w:szCs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360" w:lineRule="auto"/>
      <w:ind w:firstLine="0"/>
      <w:outlineLvl w:val="0"/>
    </w:pPr>
    <w:rPr>
      <w:rFonts w:ascii="Times New Roman" w:hAnsi="Times New Roman" w:cs="Times New Roman" w:eastAsia="Times New Roman"/>
      <w:b/>
      <w:bCs/>
      <w:color w:val="000000"/>
      <w:sz w:val="24"/>
      <w:szCs w:val="24"/>
      <w:lang w:val="pt-BR"/>
    </w:rPr>
  </w:style>
  <w:style w:type="paragraph" w:styleId="Heading2">
    <w:name w:val="heading 2"/>
    <w:basedOn w:val="Normal"/>
    <w:next w:val="Normal"/>
    <w:link w:val="Heading2Char"/>
    <w:uiPriority w:val="9"/>
    <w:unhideWhenUsed/>
    <w:qFormat/>
    <w:rsid w:val="00FC693F"/>
    <w:pPr>
      <w:keepNext/>
      <w:keepLines/>
      <w:spacing w:before="320" w:after="200" w:line="360" w:lineRule="auto"/>
      <w:ind w:firstLine="0"/>
      <w:outlineLvl w:val="1"/>
    </w:pPr>
    <w:rPr>
      <w:rFonts w:ascii="Times New Roman" w:hAnsi="Times New Roman" w:cs="Times New Roman" w:eastAsia="Times New Roman"/>
      <w:b/>
      <w:bCs/>
      <w:color w:val="000000"/>
      <w:sz w:val="24"/>
      <w:szCs w:val="24"/>
      <w:lang w:val="pt-BR"/>
    </w:rPr>
  </w:style>
  <w:style w:type="paragraph" w:styleId="Heading3">
    <w:name w:val="heading 3"/>
    <w:basedOn w:val="Normal"/>
    <w:next w:val="Normal"/>
    <w:link w:val="Heading3Char"/>
    <w:uiPriority w:val="9"/>
    <w:unhideWhenUsed/>
    <w:qFormat/>
    <w:rsid w:val="00FC693F"/>
    <w:pPr>
      <w:keepNext/>
      <w:keepLines/>
      <w:spacing w:before="320" w:after="200" w:line="360" w:lineRule="auto"/>
      <w:ind w:firstLine="0"/>
      <w:outlineLvl w:val="2"/>
    </w:pPr>
    <w:rPr>
      <w:rFonts w:ascii="Times New Roman" w:hAnsi="Times New Roman" w:cs="Times New Roman" w:eastAsia="Times New Roman"/>
      <w:b/>
      <w:bCs/>
      <w:color w:val="000000"/>
      <w:sz w:val="24"/>
      <w:szCs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lang w:val="pt-BR"/>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lang w:val="pt-BR"/>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lang w:val="pt-BR"/>
    </w:rPr>
  </w:style>
  <w:style w:type="paragraph" w:styleId="Title">
    <w:name w:val="Title"/>
    <w:basedOn w:val="Normal"/>
    <w:next w:val="Normal"/>
    <w:link w:val="TitleChar"/>
    <w:uiPriority w:val="10"/>
    <w:qFormat/>
    <w:rsid w:val="00FC693F"/>
    <w:pPr>
      <w:keepNext/>
      <w:keepLines/>
      <w:spacing w:after="200" w:line="360" w:lineRule="auto" w:before="0"/>
      <w:ind w:firstLine="0"/>
      <w:contextualSpacing/>
    </w:pPr>
    <w:rPr>
      <w:rFonts w:ascii="Times New Roman" w:hAnsi="Times New Roman" w:cs="Times New Roman" w:eastAsia="Times New Roman"/>
      <w:b/>
      <w:color w:val="000000"/>
      <w:spacing w:val="5"/>
      <w:kern w:val="28"/>
      <w:sz w:val="24"/>
      <w:szCs w:val="24"/>
      <w:lang w:val="pt-BR"/>
    </w:rPr>
  </w:style>
  <w:style w:type="character" w:customStyle="1" w:styleId="TitleChar">
    <w:name w:val="Title Char"/>
    <w:basedOn w:val="DefaultParagraphFont"/>
    <w:link w:val="Title"/>
    <w:uiPriority w:val="10"/>
    <w:rsid w:val="00FC693F"/>
    <w:rPr>
      <w:rFonts w:ascii="Times New Roman" w:hAnsi="Times New Roman" w:cs="Times New Roman" w:eastAsia="Times New Roman"/>
      <w:b/>
      <w:color w:val="000000"/>
      <w:spacing w:val="5"/>
      <w:kern w:val="28"/>
      <w:sz w:val="24"/>
      <w:szCs w:val="24"/>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Revisão da literatura sobre risco de uma carteira do agronegócio</dc:title>
  <dc:subject>Capítulo de fundamentação teórica para HMM LSTM VaR e Expected Shortfall</dc:subject>
  <dc:creator>Vinícius de Oliveira Bertolotti Braga</dc:creator>
  <cp:keywords>agronegócio; risco de mercado; HMM; LSTM; VaR; Expected Shortfall</cp:keywords>
  <dc:description>generated by python-docx</dc:description>
  <cp:lastModifiedBy/>
  <cp:revision>1</cp:revision>
  <dcterms:created xsi:type="dcterms:W3CDTF">2013-12-23T23:15:00Z</dcterms:created>
  <dcterms:modified xsi:type="dcterms:W3CDTF">2013-12-23T23:15:00Z</dcterms:modified>
  <cp:category/>
</cp:coreProperties>
</file>