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PONTIFÍCIA UNIVERSIDADE CATÓLICA DO PARANÁ</w:t>
      </w:r>
    </w:p>
    <w:p>
      <w:pPr>
        <w:spacing w:after="52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Arquitetura e Soluções em Cloud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TDE 3 — Vertical Slice + Clean Architecture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Testes unitários de arquitetura com ArchUnitTS nos backends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4292F"/>
          <w:sz w:val="21"/>
          <w:szCs w:val="21"/>
        </w:rPr>
        <w:t xml:space="preserve">Projeto: Veterano. — Plataforma de Mentoria entre Veteranos e Calouros (PJBL)</w:t>
      </w:r>
    </w:p>
    <w:p>
      <w:pPr>
        <w:spacing w:after="700"/>
        <w:jc w:val="center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github.com/ViniMTrevisan/pjbl-mentoria-cloud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Integrante</w:t>
            </w:r>
          </w:p>
        </w:tc>
        <w:tc>
          <w:tcPr>
            <w:tcW w:type="dxa" w:w="62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Participação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Bento Barp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Grupo do projeto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Guilherme Reis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Grupo do projeto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Guilherme Selenko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Grupo do projeto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Vinicius Trevisan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Grupo do projeto</w:t>
            </w:r>
          </w:p>
        </w:tc>
      </w:tr>
    </w:tbl>
    <w:p>
      <w:pPr>
        <w:spacing w:before="420"/>
        <w:jc w:val="center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Curitiba, 26 de outubro de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Resumo</w:t>
      </w:r>
    </w:p>
    <w:p>
      <w:pPr>
        <w:spacing w:after="120" w:before="0" w:line="276"/>
      </w:pPr>
      <w:r>
        <w:rPr>
          <w:sz w:val="22"/>
          <w:szCs w:val="22"/>
        </w:rPr>
        <w:t xml:space="preserve">Esta entrega aplica dois estilos arquiteturais complementares nos quatro projetos backend do sistema — BFF, mentores-service, sessoes-service e azure-function — e prova a aderência com testes unitários de arquitetura usando o ArchUnitTS, a biblioteca equivalente ao ArchUnit do Java para o ecossistema Node/TypeScript.</w:t>
      </w:r>
    </w:p>
    <w:p>
      <w:pPr>
        <w:spacing w:after="120" w:before="0" w:line="276"/>
      </w:pPr>
      <w:r>
        <w:rPr>
          <w:sz w:val="22"/>
          <w:szCs w:val="22"/>
        </w:rPr>
        <w:t xml:space="preserve">A organização anterior era em camadas horizontais: domínio, casos de uso, infraestrutura, HTTP. Depois da entrega, cada capacidade de negócio é uma pasta autocontida (vertical slice) e, dentro dela, as camadas da clean architecture aparecem na ordem domain → application → presentation/infrastructure. O resultado prático é que uma mudança em "avaliação de mentor" ou "outbox de eventos" acontece em uma pasta, com fronteira verificada por teste automatizado.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2350"/>
        <w:gridCol w:w="2350"/>
        <w:gridCol w:w="2250"/>
        <w:gridCol w:w="2688"/>
      </w:tblGrid>
      <w:tr>
        <w:trPr>
          <w:cantSplit/>
          <w:tblHeader/>
        </w:trPr>
        <w:tc>
          <w:tcPr>
            <w:tcW w:type="dxa" w:w="235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Projeto backend</w:t>
            </w:r>
          </w:p>
        </w:tc>
        <w:tc>
          <w:tcPr>
            <w:tcW w:type="dxa" w:w="235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Vertical slices</w:t>
            </w:r>
          </w:p>
        </w:tc>
        <w:tc>
          <w:tcPr>
            <w:tcW w:type="dxa" w:w="225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Testes de arquitetura</w:t>
            </w:r>
          </w:p>
        </w:tc>
        <w:tc>
          <w:tcPr>
            <w:tcW w:type="dxa" w:w="268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Total de testes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bff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agregacao, mentores, sessoes, eventos, saude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26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mentores-service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mentores, avaliacoes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8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sessoes-service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sessoes, outbox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8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azure-function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reputacao, eventos, saude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12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Total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12 slices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54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126</w:t>
            </w:r>
          </w:p>
        </w:tc>
      </w:tr>
    </w:tbl>
    <w:p>
      <w:pPr>
        <w:spacing w:after="120" w:before="160" w:line="276"/>
      </w:pPr>
      <w:r>
        <w:rPr>
          <w:i/>
          <w:iCs/>
          <w:color w:val="5A5A5A"/>
          <w:sz w:val="22"/>
          <w:szCs w:val="22"/>
        </w:rPr>
        <w:t xml:space="preserve">Todos os testes e builds (tsc) executam sem falha, conforme os prints da seção 6.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Estrutura aplicada</w:t>
      </w:r>
    </w:p>
    <w:p>
      <w:pPr>
        <w:spacing w:after="120" w:before="0" w:line="276"/>
      </w:pPr>
      <w:r>
        <w:rPr>
          <w:sz w:val="22"/>
          <w:szCs w:val="22"/>
        </w:rPr>
        <w:t xml:space="preserve">A regra usada em todos os projetos é sempre a mesma. O aplicativo é dividido em fatias verticais por capacidade de negócio; cada fatia repete as camadas por dentro, e só aponta "para dentro" (em direção ao domínio). O que é transversal — erro base, configuração, contratos e helpers HTTP — fica em src/shared, que não pode conhecer nenhuma fatia.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900"/>
        <w:gridCol w:w="3600"/>
        <w:gridCol w:w="4138"/>
      </w:tblGrid>
      <w:tr>
        <w:trPr>
          <w:cantSplit/>
          <w:tblHeader/>
        </w:trPr>
        <w:tc>
          <w:tcPr>
            <w:tcW w:type="dxa" w:w="19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</w:t>
            </w:r>
          </w:p>
        </w:tc>
        <w:tc>
          <w:tcPr>
            <w:tcW w:type="dxa" w:w="36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41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Pode depender de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domain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Regras de negócio puras: entidades, validações, máquina de estados, erros.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Nada além do próprio domínio e do kernel compartilhado.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Casos de uso e portas (interfaces de saída). Orquestra o domínio.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domain, outras portas e shared/application.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Implementa as portas: repositórios Mongo/SQL/memória, clients HTTP.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application, domain e shared.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Traduz HTTP em chamadas de caso de uso. Nenhuma regra de negócio.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application, domain e shared/http.</w:t>
            </w:r>
          </w:p>
        </w:tc>
      </w:tr>
    </w:tbl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projeto/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src/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features/              # vertical slices (1 pasta por capacidade)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&lt;slice-a&gt;/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domain/            # entidades, erros, regras puras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application/       # casos de uso + portas (interfaces)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infrastructure/    # adaptadores: Mongo, SQL, HTTP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presentation/      # rotas Express / handlers HTTP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&lt;slice-b&gt;/           # mesma estrutura, independente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shared/                # kernel: DomainError, config, contratos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app.ts                 # composition root (injeta adaptadores)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server.ts              # bootstrap do processo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test/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architecture.test.ts   # regras ArchUnitTS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*.test.ts              # dominio e casos de uso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vitest.config.ts         # globals: true (exigido pelo ArchUnitTS)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Aplicação em cada projeto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mentores-service</w:t>
      </w:r>
    </w:p>
    <w:p>
      <w:pPr>
        <w:spacing w:after="120" w:before="0" w:line="276"/>
      </w:pPr>
      <w:r>
        <w:rPr>
          <w:sz w:val="22"/>
          <w:szCs w:val="22"/>
        </w:rPr>
        <w:t xml:space="preserve">Dois slices. O slice mentores concentra o agregado (CRUD, busca com filtros, perfil público) e o slice avaliacoes cuida da nota do mentor, que é uma capacidade separada e tem sua própria regra de duplicidade.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700"/>
        <w:gridCol w:w="1700"/>
        <w:gridCol w:w="3000"/>
        <w:gridCol w:w="3238"/>
      </w:tblGrid>
      <w:tr>
        <w:trPr>
          <w:cantSplit/>
          <w:tblHeader/>
        </w:trPr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Slice</w:t>
            </w:r>
          </w:p>
        </w:tc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Camadas</w:t>
            </w:r>
          </w:p>
        </w:tc>
        <w:tc>
          <w:tcPr>
            <w:tcW w:type="dxa" w:w="30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32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Porta / adaptadores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mentores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todas as 4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Mentor, validação, factory, filtros, rotas /mentores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MentorRepository → MongoMentorRepository, InMemoryMentorRepository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avaliacoes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sem infra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adicionarAvaliacao, rotas POST /mentores/:id/avaliacoes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usa MentorRepository do slice mentores</w:t>
            </w:r>
          </w:p>
        </w:tc>
      </w:tr>
    </w:tbl>
    <w:p>
      <w:pPr>
        <w:spacing w:after="120" w:before="0" w:line="276"/>
      </w:pPr>
      <w:r>
        <w:rPr>
          <w:i/>
          <w:iCs/>
          <w:color w:val="5A5A5A"/>
          <w:sz w:val="18"/>
          <w:szCs w:val="18"/>
        </w:rPr>
        <w:t xml:space="preserve">Legenda: “todas as 4” = domain, application, infrastructure e presentation; “sem infra” = domain, application e presentation; “só aplicação/apresentação” = apenas essa camada.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mentores-service/src/features/mentores/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domain/          mentor.ts, validation.ts,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mentorFactory.ts, errors.ts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application/     MentorRepository.ts, createMentor.ts,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listMentores.ts, getMentor.ts,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updateMentor.ts, deleteMentor.ts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infrastructure/  MongoMentorRepository.ts,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InMemoryMentorRepository.ts, mentoresSeed.ts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presentation/    mentoresRoutes.ts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sessoes-service</w:t>
      </w:r>
    </w:p>
    <w:p>
      <w:pPr>
        <w:spacing w:after="120" w:before="0" w:line="276"/>
      </w:pPr>
      <w:r>
        <w:rPr>
          <w:sz w:val="22"/>
          <w:szCs w:val="22"/>
        </w:rPr>
        <w:t xml:space="preserve">O slice sessoes dono do agregado Sessao e da máquina de estados; o slice outbox é a capacidade de publicar eventos de domínio. O mesmo adaptador de banco implementa as duas portas (SessaoRepository e OutboxRepository), porque a gravação do evento é transacional com a mudança de status.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700"/>
        <w:gridCol w:w="1700"/>
        <w:gridCol w:w="3000"/>
        <w:gridCol w:w="3238"/>
      </w:tblGrid>
      <w:tr>
        <w:trPr>
          <w:cantSplit/>
          <w:tblHeader/>
        </w:trPr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Slice</w:t>
            </w:r>
          </w:p>
        </w:tc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Camadas</w:t>
            </w:r>
          </w:p>
        </w:tc>
        <w:tc>
          <w:tcPr>
            <w:tcW w:type="dxa" w:w="30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32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Porta / adaptadores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sessoes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todas as 4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Sessao, stateMachine (aceitar/recusar/concluir/cancelar), validação, rotas /sessoes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SessaoRepository → SqlSessaoRepository (Azure SQL) e InMemorySessaoRepository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outbox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aplicação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OutboxRepository, relayOutbox (at-least-once, tolerante a falha do sink)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OutboxRepository → mesma implementação SQL/memória</w:t>
            </w:r>
          </w:p>
        </w:tc>
      </w:tr>
    </w:tbl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sessoes-service/src/features/sessoes/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domain/          sessao.ts, stateMachine.ts, events.ts,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validation.ts, errors.ts, texto.ts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application/     SessaoRepository.ts, createSessao.ts,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listSessoes.ts, getSessao.ts, changeStatus.ts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infrastructure/  SqlSessaoRepository.ts,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InMemorySessaoRepository.ts, schema.ts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presentation/    sessoesRoutes.ts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bff</w:t>
      </w:r>
    </w:p>
    <w:p>
      <w:pPr>
        <w:spacing w:after="120" w:before="0" w:line="276"/>
      </w:pPr>
      <w:r>
        <w:rPr>
          <w:sz w:val="22"/>
          <w:szCs w:val="22"/>
        </w:rPr>
        <w:t xml:space="preserve">O BFF tem um slice de negócio de verdade (agregacao, com domínio, portas e clients HTTP) e fatias de borda por recurso exposto ao front-end. As fatias de proxy não conhecem adaptador concreto: dependem da porta ServicoRemoto, definida em shared/application, e o ServicoProxy é injetado no composition root.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500"/>
        <w:gridCol w:w="2100"/>
        <w:gridCol w:w="3200"/>
        <w:gridCol w:w="2838"/>
      </w:tblGrid>
      <w:tr>
        <w:trPr>
          <w:cantSplit/>
          <w:tblHeader/>
        </w:trPr>
        <w:tc>
          <w:tcPr>
            <w:tcW w:type="dxa" w:w="15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Slice</w:t>
            </w:r>
          </w:p>
        </w:tc>
        <w:tc>
          <w:tcPr>
            <w:tcW w:type="dxa" w:w="21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Camadas</w:t>
            </w:r>
          </w:p>
        </w:tc>
        <w:tc>
          <w:tcPr>
            <w:tcW w:type="dxa" w:w="32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28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Porta / adaptadores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agregacao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todas as 4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getAggregatedData com degradação parcial, timeout por dependência e limite de concorrência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MentoresPort, SessoesPort, ReputacaoPort → clients HTTP (fetch)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mentores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proxy do contrato de mentores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ServicoRemoto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sessoes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proxy do contrato de sessões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ServicoRemoto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eventos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proxy do sink de eventos da Function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ServicoRemoto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saude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/health agregando as três dependências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ServicoRemoto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azure-function</w:t>
      </w:r>
    </w:p>
    <w:p>
      <w:pPr>
        <w:spacing w:after="120" w:before="0" w:line="276"/>
      </w:pPr>
      <w:r>
        <w:rPr>
          <w:sz w:val="22"/>
          <w:szCs w:val="22"/>
        </w:rPr>
        <w:t xml:space="preserve">A Function é pequena e não tem camada de infraestrutura própria (o store de eventos é em memória, na aplicação). Ainda assim foi dividida em fatias, com o handler na borda e o domínio no centro, para manter a mesma regra de dependência dos demais backends.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700"/>
        <w:gridCol w:w="1900"/>
        <w:gridCol w:w="3100"/>
        <w:gridCol w:w="2938"/>
      </w:tblGrid>
      <w:tr>
        <w:trPr>
          <w:cantSplit/>
          <w:tblHeader/>
        </w:trPr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Slice</w:t>
            </w:r>
          </w:p>
        </w:tc>
        <w:tc>
          <w:tcPr>
            <w:tcW w:type="dxa" w:w="19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Camadas</w:t>
            </w:r>
          </w:p>
        </w:tc>
        <w:tc>
          <w:tcPr>
            <w:tcW w:type="dxa" w:w="31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29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reputacao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sem infra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calcularReputacao, média, selo, distribuição, handler POST /api/reputacao</w:t>
            </w:r>
          </w:p>
        </w:tc>
        <w:tc>
          <w:tcPr>
            <w:tcW w:type="dxa" w:w="2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domínio sem imports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eventos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sem infra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eventStore em memória com idempotência, handler GET/POST /api/eventos</w:t>
            </w:r>
          </w:p>
        </w:tc>
        <w:tc>
          <w:tcPr>
            <w:tcW w:type="dxa" w:w="2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usa o tipo Reputacao do slice reputacao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saude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2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Evidências de código-fonte (GitHub)</w:t>
      </w:r>
    </w:p>
    <w:p>
      <w:pPr>
        <w:spacing w:after="120" w:before="0" w:line="276"/>
      </w:pPr>
      <w:r>
        <w:rPr>
          <w:sz w:val="22"/>
          <w:szCs w:val="22"/>
        </w:rPr>
        <w:t xml:space="preserve">Todo o código está no repositório público do grupo. O trabalho foi entregue na branch tde3-vertical-slice-archunit, a partir da main, e está aberto como pull request.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71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Pull request da entrega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https://github.com/ViniMTrevisan/pjbl-mentoria-cloud/pull/1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Estrutura do bff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https://github.com/ViniMTrevisan/pjbl-mentoria-cloud/tree/tde3-vertical-slice-archunit/bff/src/features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Estrutura do mentores-service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https://github.com/ViniMTrevisan/pjbl-mentoria-cloud/tree/tde3-vertical-slice-archunit/mentores-service/src/features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Estrutura do sessoes-service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https://github.com/ViniMTrevisan/pjbl-mentoria-cloud/tree/tde3-vertical-slice-archunit/sessoes-service/src/features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Estrutura da azure-function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https://github.com/ViniMTrevisan/pjbl-mentoria-cloud/tree/tde3-vertical-slice-archunit/azure-function/src/features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Teste de arquitetura do bff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https://github.com/ViniMTrevisan/pjbl-mentoria-cloud/blob/tde3-vertical-slice-archunit/bff/test/architecture.test.ts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Teste de arquitetura do mentores-service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https://github.com/ViniMTrevisan/pjbl-mentoria-cloud/blob/tde3-vertical-slice-archunit/mentores-service/test/architecture.test.ts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Teste de arquitetura do sessoes-service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https://github.com/ViniMTrevisan/pjbl-mentoria-cloud/blob/tde3-vertical-slice-archunit/sessoes-service/test/architecture.test.ts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Teste de arquitetura da azure-function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https://github.com/ViniMTrevisan/pjbl-mentoria-cloud/blob/tde3-vertical-slice-archunit/azure-function/test/architecture.test.ts</w:t>
            </w:r>
          </w:p>
        </w:tc>
      </w:tr>
    </w:tbl>
    <w:p>
      <w:pPr>
        <w:keepNext/>
        <w:spacing w:after="120" w:before="200" w:line="276"/>
      </w:pPr>
      <w:r>
        <w:rPr>
          <w:sz w:val="22"/>
          <w:szCs w:val="22"/>
        </w:rPr>
        <w:t xml:space="preserve">Exemplo de código-fonte do composition root do mentores-service, onde o adaptador concreto é escolhido e injetado nas rotas — nenhuma camada interna conhece Mongo ou Express além dele: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mentores-service/src/app.ts (trecho)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app.use(saudeRoutes("mentores", "banco", () =&gt; repo.verificarSaude()));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app.use("/mentores", mentoresRoutes(repo));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app.use("/mentores", avaliacoesRoutes(repo));</w:t>
      </w:r>
    </w:p>
    <w:p>
      <w:pPr>
        <w:keepNext/>
        <w:spacing w:after="120" w:before="0" w:line="276"/>
      </w:pPr>
      <w:r>
        <w:rPr>
          <w:sz w:val="22"/>
          <w:szCs w:val="22"/>
        </w:rPr>
        <w:t xml:space="preserve">E o mesmo padrão no BFF, com as portas da agregação satisfeitas por clients HTTP: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bff/src/app.ts (trecho)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const mentores: MentoresPort = new MentoresHttpClient(httpMentores);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const sessoes: SessoesPort = new SessoesHttpClient(httpSessoes);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const reputacao: ReputacaoPort = new ReputacaoHttpClient(httpFunction);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return {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agregacao: { mentores, sessoes, reputacao },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proxyMentores: new ServicoProxy(httpMentores, "mentores"),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};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Testes unitários de arquitetura (ArchUnitTS)</w:t>
      </w:r>
    </w:p>
    <w:p>
      <w:pPr>
        <w:spacing w:after="120" w:before="0" w:line="276"/>
      </w:pPr>
      <w:r>
        <w:rPr>
          <w:sz w:val="22"/>
          <w:szCs w:val="22"/>
        </w:rPr>
        <w:t xml:space="preserve">O ArchUnitTS é o equivalente do ArchUnit para TypeScript. A ferramenta analisa o grafo de imports a partir do tsconfig e valida regras declarativas. Nesta entrega foi usada a versão 2.5.4 (pacote archunit), integrada ao Vitest já existente em cada projeto.</w:t>
      </w:r>
    </w:p>
    <w:p>
      <w:pPr>
        <w:spacing w:after="120" w:before="0" w:line="276"/>
      </w:pPr>
      <w:r>
        <w:rPr>
          <w:sz w:val="22"/>
          <w:szCs w:val="22"/>
        </w:rPr>
        <w:t xml:space="preserve">Os quatro backends do projeto são TypeScript, então a ferramenta correspondente é o ArchUnitTS. Não há projeto Java, C# ou Python neste repositório, portanto ArchUnit, ArchUnit.Net e PyTestArch não se aplicam.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Configuração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Pacote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archunit 2.5.4 (devDependency)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Runner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Vitest 2.x com globals: true em vitest.config.ts (exigido pelo ArchUnitTS)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Arquivo de teste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test/architecture.test.ts em cada backend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Comando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npm test (tudo) ou npm run test:arch (só arquitetura)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Total de regras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54 asserções (26 no bff, 12 na Function, 8 em cada serviço)</w:t>
            </w:r>
          </w:p>
        </w:tc>
      </w:tr>
    </w:tbl>
    <w:p>
      <w:pPr>
        <w:spacing w:after="120" w:before="200" w:line="276"/>
      </w:pPr>
      <w:r>
        <w:rPr>
          <w:sz w:val="22"/>
          <w:szCs w:val="22"/>
        </w:rPr>
        <w:t xml:space="preserve">As regras cobrem exatamente a direção de dependência da clean architecture e o isolamento das fatias: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Regra verificada</w:t>
            </w:r>
          </w:p>
        </w:tc>
        <w:tc>
          <w:tcPr>
            <w:tcW w:type="dxa" w:w="57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 que a asserção garante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domain não depende de application, infrastructure nem presentation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O núcleo é puro: nenhum arquivo de domínio importa camada externa.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application não depende de infrastructure nem de presentation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Casos de uso só conhecem portas e domínio.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presentation não depende de infrastructure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 borda HTTP usa a porta (interface), nunca o adaptador concreto.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Nenhum slice acessa infrastructure/presentation de outro slice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Fronteira vertical: avaliações não importa a infraestrutura de mentores, e vice-versa.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shared não conhece nenhum slice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O kernel compartilhado permanece genérico.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domain não importa frameworks (Express, Zod, driver)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Inspeção de conteúdo: domínio sem dependência de biblioteca.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Sem dependências circulares em src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Proteção contra ciclos introduzidos por refatoração futura.</w:t>
            </w:r>
          </w:p>
        </w:tc>
      </w:tr>
    </w:tbl>
    <w:p>
      <w:pPr>
        <w:keepNext/>
        <w:spacing w:after="120" w:before="200" w:line="276"/>
      </w:pPr>
      <w:r>
        <w:rPr>
          <w:sz w:val="22"/>
          <w:szCs w:val="22"/>
        </w:rPr>
        <w:t xml:space="preserve">Trecho real do teste do mentores-service: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import { projectFiles } from "archunit";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it("domain não depende de application, infrastructure nem presentation", async () =&gt; {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const regra = projectFiles("tsconfig.json")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.inPath(/^src\/features\/[^/]+\/domain\//)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.shouldNot()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.dependOnFiles()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.inPath(/^src\/features\/[^/]+\/(application|infrastructure|presentation)\//);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await expect(regra).toPassAsync();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});</w:t>
      </w:r>
    </w:p>
    <w:p>
      <w:pPr>
        <w:spacing w:after="120" w:before="0" w:line="276"/>
      </w:pPr>
      <w:r>
        <w:rPr>
          <w:sz w:val="22"/>
          <w:szCs w:val="22"/>
        </w:rPr>
        <w:t xml:space="preserve">Observação: o dependency-cruiser usado nas entregas anteriores foi removido. O ArchUnitTS cobre as mesmas regras (e mais), e ter duas ferramentas verificando a mesma fronteira só aumentaria a manutenção. As regras antigas estão reescritas na forma de testes e passam a rodar junto do npm test de cada projeto.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Print screens da execução dos testes</w:t>
      </w:r>
    </w:p>
    <w:p>
      <w:pPr>
        <w:spacing w:after="120" w:before="0" w:line="276"/>
      </w:pPr>
      <w:r>
        <w:rPr>
          <w:sz w:val="22"/>
          <w:szCs w:val="22"/>
        </w:rPr>
        <w:t xml:space="preserve">Capturas da saída real do terminal nas quatro pastas, executadas no estado atual da branch. O comando npm test roda os testes de domínio, de casos de uso e os de arquitetura.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21812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bff — 35 testes, incluindo 26 regras de arquitetura (ArchUnitTS).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21812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mentores-service — 35 testes, incluindo 8 regras de arquitetura.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2286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sessoes-service — 35 testes, incluindo 8 regras de arquitetura.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2066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azure-function — 21 testes, incluindo 12 regras de arquitetura.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32670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mentores-service — npm run test:arch: as 8 regras aprovadas.</w:t>
      </w:r>
    </w:p>
    <w:p>
      <w:pPr>
        <w:spacing w:after="120" w:before="40" w:line="276"/>
      </w:pPr>
      <w:r>
        <w:rPr>
          <w:sz w:val="22"/>
          <w:szCs w:val="22"/>
        </w:rPr>
        <w:t xml:space="preserve">Acima, a execução detalhada das regras do mentores-service (npm run test:arch). Abaixo, o bff, onde aparecem também as asserções de isolamento entre os cinco slices. O nome de cada asserção é o texto da regra descrita na seção 5.</w:t>
      </w:r>
    </w:p>
    <w:p>
      <w:pPr>
        <w:spacing w:after="0" w:before="160"/>
        <w:jc w:val="center"/>
      </w:pPr>
      <w:r>
        <w:drawing>
          <wp:inline distT="0" distB="0" distL="0" distR="0">
            <wp:extent cx="5905500" cy="69437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bff — npm run test:arch: 26 regras aprovadas, incluindo isolamento entre os 5 slices.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Como reproduzir</w:t>
      </w:r>
    </w:p>
    <w:p>
      <w:pPr>
        <w:keepNext/>
        <w:spacing w:after="120" w:before="0" w:line="276"/>
      </w:pPr>
      <w:r>
        <w:rPr>
          <w:sz w:val="22"/>
          <w:szCs w:val="22"/>
        </w:rPr>
        <w:t xml:space="preserve">Em qualquer um dos quatro projetos backend: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npm install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npm test          # domínio + casos de uso + arquitetura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npm run test:arch # somente as regras de arquitetura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npm run build     # tsc (verificação de tipos)</w:t>
      </w:r>
    </w:p>
    <w:p>
      <w:pPr>
        <w:spacing w:after="120" w:before="0" w:line="276"/>
      </w:pPr>
      <w:r>
        <w:rPr>
          <w:sz w:val="22"/>
          <w:szCs w:val="22"/>
        </w:rPr>
        <w:t xml:space="preserve">A partir da raiz do repositório, npm run test:all executa os testes dos backends e dos microfrontends; npm run build:all compila todos os projetos.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Resultado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Vertical slice </w:t>
      </w:r>
      <w:r>
        <w:rPr>
          <w:sz w:val="21"/>
          <w:szCs w:val="21"/>
        </w:rPr>
        <w:t xml:space="preserve">: cada capacidade de negócio virou uma pasta autocontida, com as camadas da clean architecture dentro.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Inversão de dependência </w:t>
      </w:r>
      <w:r>
        <w:rPr>
          <w:sz w:val="21"/>
          <w:szCs w:val="21"/>
        </w:rPr>
        <w:t xml:space="preserve">: as quatro dependências apontam para dentro, e a borda só conhece portas.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Fronteira protegida por teste </w:t>
      </w:r>
      <w:r>
        <w:rPr>
          <w:sz w:val="21"/>
          <w:szCs w:val="21"/>
        </w:rPr>
        <w:t xml:space="preserve">: 54 asserções ArchUnitTS falham o build se alguém violar a fronteira no futuro.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Verificação </w:t>
      </w:r>
      <w:r>
        <w:rPr>
          <w:sz w:val="21"/>
          <w:szCs w:val="21"/>
        </w:rPr>
        <w:t xml:space="preserve">: 126 testes verdes e tsc sem erro nos quatro projetos.</w:t>
      </w:r>
    </w:p>
    <w:p>
      <w:pPr>
        <w:spacing w:after="120" w:before="200" w:line="276"/>
      </w:pPr>
      <w:r>
        <w:rPr>
          <w:sz w:val="22"/>
          <w:szCs w:val="22"/>
        </w:rPr>
        <w:t xml:space="preserve">O efeito para a manutenção é direto: pedir uma mudança em avaliação de mentor significa abrir uma pasta, e a mudança não alcança o resto do serviço sem que um teste de arquitetura reclame.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Referências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MARTIN, Robert C. Clean Architecture: A Craftsman's Guide to Software Structure and Design. Prentice Hall, 2017.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BOGARD, Jimmy. Vertical Slice Architecture. Jimmy Bogard's Blog, 2018.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ArchUnitTS — documentação e repositório: github.com/LukasNiessen/ArchUnitTS (pacote npm archunit 2.5.4).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ArchUnit — Architecture Testing for Java: www.archunit.org.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Vitest — documentação oficial: vitest.dev.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TDE 3 — Vertical Slice + Clean Architecture · ArchUnitTS · </w:t>
    </w:r>
    <w:r>
      <w:rPr>
        <w:color w:val="5A5A5A"/>
        <w:sz w:val="16"/>
        <w:szCs w:val="16"/>
      </w:rPr>
      <w:t xml:space="preserve">Bento Barp, Guilherme Reis, Guilherme Selenko, Vinicius Trevisan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69ca68c022e8a1fbe593320fe58a0090ba437af.png"/><Relationship Id="rId9" Type="http://schemas.openxmlformats.org/officeDocument/2006/relationships/image" Target="media/03fb96fe8fe9cb8a777bafb1b700745c7e96d5af.png"/><Relationship Id="rId10" Type="http://schemas.openxmlformats.org/officeDocument/2006/relationships/image" Target="media/57b2acc27309c2252db98eea442bd34308b2f986.png"/><Relationship Id="rId11" Type="http://schemas.openxmlformats.org/officeDocument/2006/relationships/image" Target="media/888fc73d9382028a1a756a860d572e73511d2349.png"/><Relationship Id="rId12" Type="http://schemas.openxmlformats.org/officeDocument/2006/relationships/image" Target="media/d20fc19dba51b093a8054f12a600be7151453fc2.png"/><Relationship Id="rId13" Type="http://schemas.openxmlformats.org/officeDocument/2006/relationships/image" Target="media/9edb280a9764ef13859cc8f59fadc6ec9c13c3c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TDE 3 — Vertical Slice + Clean Architecture com ArchUnitTS</dc:title>
  <dc:creator>Grupo PJBL Mentoria</dc:creator>
  <dc:description>Aplicação de vertical slice e clean architecture nos backends com testes de arquitetura.</dc:description>
  <cp:lastModifiedBy>Un-named</cp:lastModifiedBy>
  <cp:revision>1</cp:revision>
  <dcterms:created xsi:type="dcterms:W3CDTF">2026-10-26T22:35:21.239Z</dcterms:created>
  <dcterms:modified xsi:type="dcterms:W3CDTF">2026-10-26T22:35:21.240Z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