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r="http://schemas.openxmlformats.org/officeDocument/2006/relationships" xmlns:m="http://schemas.openxmlformats.org/officeDocument/2006/math" xmlns:o="urn:schemas-microsoft-com:office:office" xmlns:w="http://schemas.openxmlformats.org/wordprocessingml/2006/main" xmlns:w14="http://schemas.microsoft.com/office/word/2010/wordml" xmlns:w15="http://schemas.microsoft.com/office/word/2012/wordml" mc:Ignorable="w14 w15">
  <w:body>
    <w:p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Gestão de Projetos – plano de aquisições</w:t>
      </w:r>
    </w:p>
    <w:p>
      <w:r>
        <w:t xml:space="preserve">Nome do Projeto: </w:t>
      </w:r>
      <w:r>
        <w:rPr>
          <w:color w:val="4F81BD" w:themeColor="accent1"/>
        </w:rPr>
        <w:t xml:space="preserve">Kybernus CLI</w:t>
      </w:r>
    </w:p>
    <w:p>
      <w:r>
        <w:t xml:space="preserve">Integrantes: </w:t>
      </w:r>
      <w:r>
        <w:rPr>
          <w:color w:val="4F81BD" w:themeColor="accent1"/>
        </w:rPr>
        <w:t xml:space="preserve">Valentina Lago (GP), Giulia Castelucci (PM), Vinícius Trevisan (Dev #1), Guilherme Reis (Dev #2), Amanda Freire (Dev #3), Guilherme Marafon (Marketing)</w:t>
      </w:r>
    </w:p>
    <w:tbl>
      <w:tblPr>
        <w:tblStyle w:val="Tabelacomgrade"/>
        <w:tblW w:w="0" w:type="auto"/>
      </w:tblPr>
      <w:tblGrid>
        <w:gridCol w:w="624"/>
        <w:gridCol w:w="2745"/>
        <w:gridCol w:w="1701"/>
        <w:gridCol w:w="3685"/>
        <w:gridCol w:w="2552"/>
        <w:gridCol w:w="2835"/>
      </w:tblGrid>
      <w:tr>
        <w:tc>
          <w:tcPr>
            <w:tcW w:w="624" w:type="dxa"/>
          </w:tcPr>
          <w:p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Cód</w:t>
            </w:r>
          </w:p>
        </w:tc>
        <w:tc>
          <w:tcPr>
            <w:tcW w:w="2745" w:type="dxa"/>
          </w:tcPr>
          <w:p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Item a ser adquirido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Quantidade</w:t>
            </w:r>
          </w:p>
        </w:tc>
        <w:tc>
          <w:tcPr>
            <w:tcW w:w="3685" w:type="dxa"/>
          </w:tcPr>
          <w:p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Motivos para a aquisição</w:t>
            </w:r>
          </w:p>
        </w:tc>
        <w:tc>
          <w:tcPr>
            <w:tcW w:w="2552" w:type="dxa"/>
          </w:tcPr>
          <w:p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Fornecedores potenciais</w:t>
            </w:r>
          </w:p>
        </w:tc>
        <w:tc>
          <w:tcPr>
            <w:tcW w:w="2835" w:type="dxa"/>
          </w:tcPr>
          <w:p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Valor estimado (unidade)</w:t>
            </w:r>
          </w:p>
        </w:tc>
      </w:tr>
      <w:tr>
        <w:tc>
          <w:tcPr>
            <w:tcW w:w="62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01</w:t>
            </w:r>
          </w:p>
        </w:tc>
        <w:tc>
          <w:tcPr>
            <w:tcW w:w="274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Google Gemini API (Módulo de Documentação IA)</w:t>
            </w:r>
          </w:p>
        </w:tc>
        <w:tc>
          <w:tcPr>
            <w:tcW w:w="1701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1 integração</w:t>
            </w:r>
          </w:p>
        </w:tc>
        <w:tc>
          <w:tcPr>
            <w:tcW w:w="36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Geração automática de README e guias de uso com base no contexto do projeto gerado (RF06). Serviço externo essencial para o Módulo de Documentação IA.</w:t>
            </w:r>
          </w:p>
        </w:tc>
        <w:tc>
          <w:tcPr>
            <w:tcW w:w="2552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Google LLC (Google AI Studio / Google Cloud)</w:t>
            </w:r>
          </w:p>
        </w:tc>
        <w:tc>
          <w:tcPr>
            <w:tcW w:w="283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Gratuito (plano gratuito dentro dos limites do projeto)</w:t>
            </w:r>
          </w:p>
        </w:tc>
      </w:tr>
      <w:tr>
        <w:tc>
          <w:tcPr>
            <w:tcW w:w="62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02</w:t>
            </w:r>
          </w:p>
        </w:tc>
        <w:tc>
          <w:tcPr>
            <w:tcW w:w="274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PostHog (Módulo de Telemetria)</w:t>
            </w:r>
          </w:p>
        </w:tc>
        <w:tc>
          <w:tcPr>
            <w:tcW w:w="1701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1 integração</w:t>
            </w:r>
          </w:p>
        </w:tc>
        <w:tc>
          <w:tcPr>
            <w:tcW w:w="36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Coleta anônima de dados de uso da ferramenta para identificar padrões e orientar melhorias (RF19, RNF05). Conformidade com LGPD exigida como critério de aceite do TAP.</w:t>
            </w:r>
          </w:p>
        </w:tc>
        <w:tc>
          <w:tcPr>
            <w:tcW w:w="2552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PostHog Inc.</w:t>
            </w:r>
          </w:p>
        </w:tc>
        <w:tc>
          <w:tcPr>
            <w:tcW w:w="283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Gratuito (plano gratuito — até 1 milhão de eventos/mês)</w:t>
            </w:r>
          </w:p>
        </w:tc>
      </w:tr>
      <w:tr>
        <w:tc>
          <w:tcPr>
            <w:tcW w:w="62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03</w:t>
            </w:r>
          </w:p>
        </w:tc>
        <w:tc>
          <w:tcPr>
            <w:tcW w:w="274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Supabase (Banco de Dados)</w:t>
            </w:r>
          </w:p>
        </w:tc>
        <w:tc>
          <w:tcPr>
            <w:tcW w:w="1701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1 instância</w:t>
            </w:r>
          </w:p>
        </w:tc>
        <w:tc>
          <w:tcPr>
            <w:tcW w:w="36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Armazenamento de dados de configuração e suporte à infraestrutura da ferramenta durante o desenvolvimento e testes.</w:t>
            </w:r>
          </w:p>
        </w:tc>
        <w:tc>
          <w:tcPr>
            <w:tcW w:w="2552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Supabase Inc.</w:t>
            </w:r>
          </w:p>
        </w:tc>
        <w:tc>
          <w:tcPr>
            <w:tcW w:w="283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Gratuito (plano gratuito dentro dos limites do projeto)</w:t>
            </w:r>
          </w:p>
        </w:tc>
      </w:tr>
      <w:tr>
        <w:tc>
          <w:tcPr>
            <w:tcW w:w="62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04</w:t>
            </w:r>
          </w:p>
        </w:tc>
        <w:tc>
          <w:tcPr>
            <w:tcW w:w="274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npm Registry (Publicação do pacote)</w:t>
            </w:r>
          </w:p>
        </w:tc>
        <w:tc>
          <w:tcPr>
            <w:tcW w:w="1701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1 publicação</w:t>
            </w:r>
          </w:p>
        </w:tc>
        <w:tc>
          <w:tcPr>
            <w:tcW w:w="36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Distribuição oficial da ferramenta Kybernus CLI como pacote executável via npx kybernus@latest (RF24). Critério de aceite formal do TAP.</w:t>
            </w:r>
          </w:p>
        </w:tc>
        <w:tc>
          <w:tcPr>
            <w:tcW w:w="2552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npm Inc. (GitHub / Microsoft)</w:t>
            </w:r>
          </w:p>
        </w:tc>
        <w:tc>
          <w:tcPr>
            <w:tcW w:w="283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Gratuito (pacote público open-source)</w:t>
            </w:r>
          </w:p>
        </w:tc>
      </w:tr>
      <w:tr>
        <w:tc>
          <w:tcPr>
            <w:tcW w:w="62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05</w:t>
            </w:r>
          </w:p>
        </w:tc>
        <w:tc>
          <w:tcPr>
            <w:tcW w:w="274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GitHub (Repositório e CI/CD)</w:t>
            </w:r>
          </w:p>
        </w:tc>
        <w:tc>
          <w:tcPr>
            <w:tcW w:w="1701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1 organização / repositório</w:t>
            </w:r>
          </w:p>
        </w:tc>
        <w:tc>
          <w:tcPr>
            <w:tcW w:w="36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Hospedagem do código-fonte, controle de versão, pull requests, pipeline CI/CD via GitHub Actions e repositório modelo público para a comunidade open-source (critério de aceite do TAP).</w:t>
            </w:r>
          </w:p>
        </w:tc>
        <w:tc>
          <w:tcPr>
            <w:tcW w:w="2552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GitHub Inc. (Microsoft)</w:t>
            </w:r>
          </w:p>
        </w:tc>
        <w:tc>
          <w:tcPr>
            <w:tcW w:w="283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Gratuito (plano gratuito para repositórios públicos)</w:t>
            </w:r>
          </w:p>
        </w:tc>
      </w:tr>
      <w:tr>
        <w:tc>
          <w:tcPr>
            <w:tcW w:w="62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06</w:t>
            </w:r>
          </w:p>
        </w:tc>
        <w:tc>
          <w:tcPr>
            <w:tcW w:w="274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Plataforma de hospedagem da Landing Page</w:t>
            </w:r>
          </w:p>
        </w:tc>
        <w:tc>
          <w:tcPr>
            <w:tcW w:w="1701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1 deploy</w:t>
            </w:r>
          </w:p>
        </w:tc>
        <w:tc>
          <w:tcPr>
            <w:tcW w:w="36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Publicação da landing page pública com descrição da ferramenta, instruções de instalação e links para documentação (RF25). Critério de aceite formal do TAP.</w:t>
            </w:r>
          </w:p>
        </w:tc>
        <w:tc>
          <w:tcPr>
            <w:tcW w:w="2552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Vercel Inc. (preferencial) ou Netlify</w:t>
            </w:r>
          </w:p>
        </w:tc>
        <w:tc>
          <w:tcPr>
            <w:tcW w:w="283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Gratuito (plano gratuito para projetos open-source)</w:t>
            </w:r>
          </w:p>
        </w:tc>
      </w:tr>
      <w:tr>
        <w:tc>
          <w:tcPr>
            <w:tcW w:w="62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07</w:t>
            </w:r>
          </w:p>
        </w:tc>
        <w:tc>
          <w:tcPr>
            <w:tcW w:w="274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ClickUp (Gerenciamento do Projeto)</w:t>
            </w:r>
          </w:p>
        </w:tc>
        <w:tc>
          <w:tcPr>
            <w:tcW w:w="1701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1 workspace</w:t>
            </w:r>
          </w:p>
        </w:tc>
        <w:tc>
          <w:tcPr>
            <w:tcW w:w="36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Ferramenta utilizada pela equipe para cronograma, acompanhamento de tarefas, Gantt e controle do andamento do projeto ao longo das 5 fases.</w:t>
            </w:r>
          </w:p>
        </w:tc>
        <w:tc>
          <w:tcPr>
            <w:tcW w:w="2552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ClickUp (Mango Technologies Inc.)</w:t>
            </w:r>
          </w:p>
        </w:tc>
        <w:tc>
          <w:tcPr>
            <w:tcW w:w="283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Gratuito (plano gratuito em uso pela equipe)</w:t>
            </w:r>
          </w:p>
        </w:tc>
      </w:tr>
      <w:tr>
        <w:tc>
          <w:tcPr>
            <w:tcW w:w="62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08</w:t>
            </w:r>
          </w:p>
        </w:tc>
        <w:tc>
          <w:tcPr>
            <w:tcW w:w="274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Notebooks da equipe (equipamentos próprios)</w:t>
            </w:r>
          </w:p>
        </w:tc>
        <w:tc>
          <w:tcPr>
            <w:tcW w:w="1701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6 unidades</w:t>
            </w:r>
          </w:p>
        </w:tc>
        <w:tc>
          <w:tcPr>
            <w:tcW w:w="36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Desenvolvimento, reuniões e execução das tarefas do projeto. Equipamentos próprios dos integrantes, sem custo adicional ao projeto.</w:t>
            </w:r>
          </w:p>
        </w:tc>
        <w:tc>
          <w:tcPr>
            <w:tcW w:w="2552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Próprio dos integrantes</w:t>
            </w:r>
          </w:p>
        </w:tc>
        <w:tc>
          <w:tcPr>
            <w:tcW w:w="283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R$ 0,00 (sem custo ao projeto)</w:t>
            </w:r>
          </w:p>
        </w:tc>
      </w:tr>
    </w:tbl>
    <w:p>
      <w:r>
        <w:t xml:space="preserve">Observação: Todas as aquisições listadas utilizam planos gratuitos compatíveis com o volume do projeto. Não há custo financeiro direto com software ou infraestrutura. O orçamento do projeto destina-se integralmente aos recursos humanos, conforme aprovado no TAP (R$ 35.600,00).</w:t>
      </w:r>
    </w:p>
    <w:p/>
    <w:sectPr>
      <w:pgSz w:w="16838" w:h="11906" w:orient="landscape"/>
      <w:pgMar w:top="1418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1A135D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0EC3"/>
    <w:rsid w:val="000014C6"/>
    <w:rsid w:val="001161F5"/>
    <w:rsid w:val="001316AD"/>
    <w:rsid w:val="00154E2C"/>
    <w:rsid w:val="001758A0"/>
    <w:rsid w:val="001D1FA7"/>
    <w:rsid w:val="001E5218"/>
    <w:rsid w:val="001F7117"/>
    <w:rsid w:val="0020643B"/>
    <w:rsid w:val="002253D0"/>
    <w:rsid w:val="003161D8"/>
    <w:rsid w:val="0031722F"/>
    <w:rsid w:val="00397459"/>
    <w:rsid w:val="0045686E"/>
    <w:rsid w:val="00541973"/>
    <w:rsid w:val="00582375"/>
    <w:rsid w:val="005B30EA"/>
    <w:rsid w:val="005B7B63"/>
    <w:rsid w:val="00642FEC"/>
    <w:rsid w:val="0068705B"/>
    <w:rsid w:val="007C764B"/>
    <w:rsid w:val="008C6AE7"/>
    <w:rsid w:val="00900FFF"/>
    <w:rsid w:val="0097124B"/>
    <w:rsid w:val="009A7D9B"/>
    <w:rsid w:val="00A3482F"/>
    <w:rsid w:val="00A57D47"/>
    <w:rsid w:val="00A937DF"/>
    <w:rsid w:val="00AE75D4"/>
    <w:rsid w:val="00C70B23"/>
    <w:rsid w:val="00CE1BF6"/>
    <w:rsid w:val="00CF0EC3"/>
    <w:rsid w:val="00E02203"/>
    <w:rsid w:val="00E57FC7"/>
    <w:rsid w:val="00EC1FEF"/>
    <w:rsid w:val="00F33593"/>
    <w:rsid w:val="00FA62F5"/>
    <w:rsid w:val="00FE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5DF90"/>
  <w15:docId w15:val="{1DA0F09A-F655-470C-8110-4EC7233A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1FEF"/>
    <w:pPr>
      <w:keepNext/>
      <w:keepLines/>
      <w:numPr>
        <w:numId w:val="1"/>
      </w:numPr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EC1FEF"/>
    <w:pPr>
      <w:keepNext/>
      <w:keepLines/>
      <w:numPr>
        <w:ilvl w:val="1"/>
        <w:numId w:val="1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C1FEF"/>
    <w:pPr>
      <w:keepNext/>
      <w:keepLines/>
      <w:numPr>
        <w:ilvl w:val="2"/>
        <w:numId w:val="1"/>
      </w:numPr>
      <w:spacing w:before="1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1FEF"/>
    <w:pPr>
      <w:keepNext/>
      <w:keepLines/>
      <w:numPr>
        <w:ilvl w:val="3"/>
        <w:numId w:val="1"/>
      </w:numPr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1FEF"/>
    <w:pPr>
      <w:keepNext/>
      <w:keepLines/>
      <w:numPr>
        <w:ilvl w:val="4"/>
        <w:numId w:val="1"/>
      </w:numPr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1FEF"/>
    <w:pPr>
      <w:keepNext/>
      <w:keepLines/>
      <w:numPr>
        <w:ilvl w:val="5"/>
        <w:numId w:val="1"/>
      </w:numPr>
      <w:spacing w:before="40" w:after="0" w:line="240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1FEF"/>
    <w:pPr>
      <w:keepNext/>
      <w:keepLines/>
      <w:numPr>
        <w:ilvl w:val="6"/>
        <w:numId w:val="1"/>
      </w:numPr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1FEF"/>
    <w:pPr>
      <w:keepNext/>
      <w:keepLines/>
      <w:numPr>
        <w:ilvl w:val="7"/>
        <w:numId w:val="1"/>
      </w:numPr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1FEF"/>
    <w:pPr>
      <w:keepNext/>
      <w:keepLines/>
      <w:numPr>
        <w:ilvl w:val="8"/>
        <w:numId w:val="1"/>
      </w:numPr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CF0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EC1F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EC1FEF"/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C1FEF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1FE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1FEF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1FE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1FE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1FE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1FE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Fontepargpadro"/>
    <w:uiPriority w:val="99"/>
    <w:rsid w:val="00EC1F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86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5DF44892B3C54498636B8E7E631705" ma:contentTypeVersion="11" ma:contentTypeDescription="Create a new document." ma:contentTypeScope="" ma:versionID="32581b1240bb1115e96189f243d370c5">
  <xsd:schema xmlns:xsd="http://www.w3.org/2001/XMLSchema" xmlns:xs="http://www.w3.org/2001/XMLSchema" xmlns:p="http://schemas.microsoft.com/office/2006/metadata/properties" xmlns:ns2="0b4de4d3-3fca-4b74-ab31-17d1afb5b2e7" xmlns:ns3="a19629bc-2b98-4380-acef-5b64e6632342" targetNamespace="http://schemas.microsoft.com/office/2006/metadata/properties" ma:root="true" ma:fieldsID="ca513ade663d14d4f8e38dd4b11b2eb7" ns2:_="" ns3:_="">
    <xsd:import namespace="0b4de4d3-3fca-4b74-ab31-17d1afb5b2e7"/>
    <xsd:import namespace="a19629bc-2b98-4380-acef-5b64e66323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4de4d3-3fca-4b74-ab31-17d1afb5b2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9629bc-2b98-4380-acef-5b64e663234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23b8058-b168-4908-979e-3b00ea53467e}" ma:internalName="TaxCatchAll" ma:showField="CatchAllData" ma:web="a19629bc-2b98-4380-acef-5b64e66323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4de4d3-3fca-4b74-ab31-17d1afb5b2e7">
      <Terms xmlns="http://schemas.microsoft.com/office/infopath/2007/PartnerControls"/>
    </lcf76f155ced4ddcb4097134ff3c332f>
    <TaxCatchAll xmlns="a19629bc-2b98-4380-acef-5b64e663234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913FF4-911F-407F-826F-0BB08AD779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4de4d3-3fca-4b74-ab31-17d1afb5b2e7"/>
    <ds:schemaRef ds:uri="a19629bc-2b98-4380-acef-5b64e66323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39AA1-8D4F-4B21-B6B0-7C78C90FB2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76C5FB-2EFB-4050-9A46-CD2C44E1A4A5}">
  <ds:schemaRefs>
    <ds:schemaRef ds:uri="http://schemas.microsoft.com/office/2006/metadata/properties"/>
    <ds:schemaRef ds:uri="http://schemas.microsoft.com/office/infopath/2007/PartnerControls"/>
    <ds:schemaRef ds:uri="0b4de4d3-3fca-4b74-ab31-17d1afb5b2e7"/>
    <ds:schemaRef ds:uri="a19629bc-2b98-4380-acef-5b64e6632342"/>
  </ds:schemaRefs>
</ds:datastoreItem>
</file>

<file path=customXml/itemProps4.xml><?xml version="1.0" encoding="utf-8"?>
<ds:datastoreItem xmlns:ds="http://schemas.openxmlformats.org/officeDocument/2006/customXml" ds:itemID="{5432D096-BE5E-411F-81F5-84DA8144E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78</Words>
  <Characters>422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Regina</dc:creator>
  <cp:lastModifiedBy>Rosilene Fernandes</cp:lastModifiedBy>
  <cp:revision>7</cp:revision>
  <dcterms:created xsi:type="dcterms:W3CDTF">2024-04-11T20:06:00Z</dcterms:created>
  <dcterms:modified xsi:type="dcterms:W3CDTF">2026-04-06T20:15:00Z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0x0101009C5DF44892B3C54498636B8E7E631705</vt:lpwstr>
  </property>
</Properties>
</file>