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8iw2qh5bki7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funcionais</w:t>
      </w:r>
    </w:p>
    <w:tbl>
      <w:tblPr>
        <w:tblStyle w:val="Table1"/>
        <w:tblW w:w="965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3854"/>
        <w:gridCol w:w="2271"/>
        <w:gridCol w:w="2185"/>
        <w:tblGridChange w:id="0">
          <w:tblGrid>
            <w:gridCol w:w="1340"/>
            <w:gridCol w:w="3854"/>
            <w:gridCol w:w="2271"/>
            <w:gridCol w:w="2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100" w:before="100" w:lineRule="auto"/>
              <w:rPr>
                <w:rFonts w:ascii="Calibri" w:cs="Calibri" w:eastAsia="Calibri" w:hAnsi="Calibri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criação de um novo projeto backend via comando kybernus init, iniciando um wizard interativo no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​​O sistema deve pedir ao usuário que escolha um nome para o projeto antes de começar a criar os arquivos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a tecnologia principal que será usada no projeto, entre as seguintes opções disponíveis: Node.js + Express, NestJS, Java Spring Boot, Python FastAPI, Next.js e n8n.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de que forma o projeto será organizado internamente, entre três modelos de estrutura disponíveis: MVC, Clean Architecture ou Hexagonal Architecture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incluir, no projeto gerado, arquivos prontos de configuração para execução em ambiente isolado (Docker), integração contínua (GitHub Actions) e provisionamento de infraestrutura na nuvem (Terraform/AWS).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gerar automaticamente uma documentação explicativa do projeto utilizando inteligência artificial (Google Gemini), dispensando a escrita manual.</w:t>
            </w:r>
          </w:p>
          <w:p w:rsidR="00000000" w:rsidDel="00000000" w:rsidP="00000000" w:rsidRDefault="00000000" w:rsidRPr="00000000" w14:paraId="0000001D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novas funcionalidades sejam adicionadas a projetos já existentes por meio do comando kybernus add, mesmo que esses projetos não tenham sido criados com o Kybernus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uma página de documentação interativa da API ao projeto via kybernus add swagger, onde os endpoints disponíveis possam ser visualizados e testados diretamente pelo navegador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 serviço de cache via kybernus add redis, incluindo a configuração do container Docker correspondente para uso em ambiente de desenvolvimento e produção.</w:t>
            </w:r>
          </w:p>
          <w:p w:rsidR="00000000" w:rsidDel="00000000" w:rsidP="00000000" w:rsidRDefault="00000000" w:rsidRPr="00000000" w14:paraId="0000002A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suporte a comunicação bidirecional em tempo real via kybernus add websocket, gerando a configuração do servidor e os handlers necessários para o stack selecionado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deploy” gere os arquivos de configuração de deployment para as plataformas Vercel, Railway, Fly.io e Render, respeitando as convenções de cada provedor conforme o stack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doctor” deve inspecionar o ambiente local do usuário, verificando a presença e as versões mínimas exigidas de Node.js, Python, Java e Docker, além de validar a existência das variáveis de ambiente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comando “init” deve aceitar flags de linha de comando (--name, --stack, --template e --yes) permitindo execução totalmente não-interativa e integração com scripts de automação e pipelines CI/CD.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suportar a flag --template user/repo no comando “init”, permitindo que o usuário utilize um repositório GitHub próprio como template base, substituindo os templates padrão do Kybernus.</w:t>
            </w:r>
          </w:p>
          <w:p w:rsidR="00000000" w:rsidDel="00000000" w:rsidP="00000000" w:rsidRDefault="00000000" w:rsidRPr="00000000" w14:paraId="00000047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selecionar a stack n8n, o sistema deve oferecer quatro templates de caso de uso: Default (infraestrutura limpa), AI Assistant (arquitetura webhook + OpenAI), CRM Tracker (integração Google Sheets → HubSpot via schedule) e System Monitor (uptime monitoring com alertas via Discord Webhook).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concluir a geração do projeto, o sistema deve exibir um painel de next steps no terminal com os comandos específicos para instalação de dependências (npm install, pip install, mvn install etc.) e inicialização do servidor conforme a stack escolhida.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coletar telemetria anônima de uso para fins de melhoria da ferramenta, sem rastrear dados pessoais identificáveis. O opt-out deve ser possível a qualquer momento via o comando “kybernus analytics --disable”, e o usuário deve ser notificado sobre a coleta na primeira execução.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independentemente da stack, os arquivos de configuração padronizados do projeto: .env com variáveis de ambiente base, configuração do ESLint para análise estática e Prettier para formatação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Node.js + Express, o sistema deve gerar configuração com ts-node-dev para hot reloading em desenvolvimento, Prisma ORM como camada de acesso a dados e TypeScript em modo 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Python FastAPI, o sistema deve gerar configuração com SQLAlchemy assíncrono como ORM, Alembic para gerenciamento de migrations, Pydantic v2 para validação de schemas e suporte a async/await nativo.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Java Spring Boot, o sistema deve gerar configuração com Maven como build tool, Spring Web MVC para exposição de endpoints REST, Spring Data JPA com Hibernate como ORM e compatibilidade com Java 17+.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distribuído como pacote npm e executável via comando “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npx kybernus@latest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” sem instalação global prévia, sempre resolvendo a versão mais recente publicada no registry.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ind w:left="72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n4s49pdr07u3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não-funcionais</w:t>
      </w:r>
    </w:p>
    <w:tbl>
      <w:tblPr>
        <w:tblStyle w:val="Table2"/>
        <w:tblW w:w="9648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"/>
        <w:gridCol w:w="3792"/>
        <w:gridCol w:w="2206"/>
        <w:gridCol w:w="2181"/>
        <w:tblGridChange w:id="0">
          <w:tblGrid>
            <w:gridCol w:w="1469"/>
            <w:gridCol w:w="3792"/>
            <w:gridCol w:w="2206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100" w:before="100" w:lineRule="auto"/>
              <w:rPr>
                <w:rFonts w:ascii="Calibri" w:cs="Calibri" w:eastAsia="Calibri" w:hAnsi="Calibri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8B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0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Kybernus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08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1"/>
        <w:iCs w:val="1"/>
        <w:smallCaps w:val="0"/>
        <w:strike w:val="0"/>
        <w:color w:val="0000f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Registro das Funcionalidades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i w:val="1"/>
      <w:i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0x0101004021C691F93EE741BB7A7C27C2620E4A</vt:lpwstr>
  </property>
</Properties>
</file>