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8217" w:type="dxa"/>
        <w:tblLayout w:type="fixed"/>
        <w:tblLook w:val="04A0" w:firstRow="1" w:lastRow="0" w:firstColumn="1" w:lastColumn="0" w:noHBand="0" w:noVBand="1"/>
      </w:tblPr>
      <w:tblGrid>
        <w:gridCol w:w="971"/>
        <w:gridCol w:w="7246"/>
      </w:tblGrid>
      <w:tr w:rsidR="008150EB" w:rsidRPr="00394E2E" w14:paraId="45A6BB2D" w14:textId="77777777" w:rsidTr="008150EB">
        <w:tc>
          <w:tcPr>
            <w:tcW w:w="971" w:type="dxa"/>
          </w:tcPr>
          <w:p w14:paraId="5C7C080E" w14:textId="77777777" w:rsidR="008150EB" w:rsidRPr="00394E2E" w:rsidRDefault="008150EB" w:rsidP="00334341">
            <w:pPr>
              <w:rPr>
                <w:b/>
              </w:rPr>
            </w:pPr>
            <w:r w:rsidRPr="00394E2E">
              <w:rPr>
                <w:b/>
              </w:rPr>
              <w:t>REP</w:t>
            </w:r>
          </w:p>
        </w:tc>
        <w:tc>
          <w:tcPr>
            <w:tcW w:w="7246" w:type="dxa"/>
          </w:tcPr>
          <w:p w14:paraId="73274C4A" w14:textId="4AB6058A" w:rsidR="008150EB" w:rsidRPr="00394E2E" w:rsidRDefault="008150EB" w:rsidP="00334341">
            <w:pPr>
              <w:rPr>
                <w:b/>
              </w:rPr>
            </w:pPr>
            <w:r>
              <w:rPr>
                <w:b/>
              </w:rPr>
              <w:t>Sugestões de Ajuste</w:t>
            </w:r>
          </w:p>
        </w:tc>
      </w:tr>
      <w:tr w:rsidR="008150EB" w14:paraId="21FB0B85" w14:textId="77777777" w:rsidTr="008150EB">
        <w:tc>
          <w:tcPr>
            <w:tcW w:w="971" w:type="dxa"/>
          </w:tcPr>
          <w:p w14:paraId="61E29459" w14:textId="77777777" w:rsidR="008150EB" w:rsidRDefault="008150EB" w:rsidP="00334341">
            <w:r>
              <w:t>MED 2</w:t>
            </w:r>
          </w:p>
        </w:tc>
        <w:tc>
          <w:tcPr>
            <w:tcW w:w="7246" w:type="dxa"/>
          </w:tcPr>
          <w:p w14:paraId="108A3AB6" w14:textId="412C7794" w:rsidR="008150EB" w:rsidRDefault="008150EB" w:rsidP="00334341">
            <w:proofErr w:type="spellStart"/>
            <w:r w:rsidRPr="008150EB">
              <w:t>BetSoft</w:t>
            </w:r>
            <w:proofErr w:type="spellEnd"/>
            <w:r w:rsidRPr="008150EB">
              <w:t xml:space="preserve"> precisa criar um "Documento de Métricas". Para cada métrica (retrabalho, </w:t>
            </w:r>
            <w:r w:rsidRPr="008150EB">
              <w:t>satisfação etc.</w:t>
            </w:r>
            <w:r w:rsidRPr="008150EB">
              <w:t>), este documento deve registrar formalmente todos os itens da NOTA 1: nome; objetivo relacionado; fórmula de cálculo; medidas básicas (se for medida derivada); forma, momento e responsabilidade pela coleta; forma de armazenamento; procedimento e responsabilidade pela análise.</w:t>
            </w:r>
          </w:p>
        </w:tc>
      </w:tr>
      <w:tr w:rsidR="008150EB" w14:paraId="750C5BF3" w14:textId="77777777" w:rsidTr="008150EB">
        <w:tc>
          <w:tcPr>
            <w:tcW w:w="971" w:type="dxa"/>
          </w:tcPr>
          <w:p w14:paraId="36F5B805" w14:textId="77777777" w:rsidR="008150EB" w:rsidRDefault="008150EB" w:rsidP="00334341">
            <w:r>
              <w:t>MED 3</w:t>
            </w:r>
          </w:p>
        </w:tc>
        <w:tc>
          <w:tcPr>
            <w:tcW w:w="7246" w:type="dxa"/>
          </w:tcPr>
          <w:p w14:paraId="21A5E9F0" w14:textId="5DAF8772" w:rsidR="008150EB" w:rsidRDefault="008150EB" w:rsidP="00334341">
            <w:r w:rsidRPr="008150EB">
              <w:t>Após criar o "Documento de Métricas" (solução do MED 2), o gerente deve executar o processo de coleta seguindo estritamente as fórmulas e medidas básicas definidas no novo Documento de Métricas.</w:t>
            </w:r>
          </w:p>
        </w:tc>
      </w:tr>
      <w:tr w:rsidR="008150EB" w14:paraId="28EF8496" w14:textId="77777777" w:rsidTr="008150EB">
        <w:tc>
          <w:tcPr>
            <w:tcW w:w="971" w:type="dxa"/>
          </w:tcPr>
          <w:p w14:paraId="59900493" w14:textId="77777777" w:rsidR="008150EB" w:rsidRDefault="008150EB" w:rsidP="00334341">
            <w:r>
              <w:t>MED 4</w:t>
            </w:r>
          </w:p>
        </w:tc>
        <w:tc>
          <w:tcPr>
            <w:tcW w:w="7246" w:type="dxa"/>
          </w:tcPr>
          <w:p w14:paraId="6B153DC4" w14:textId="4949A8A9" w:rsidR="008150EB" w:rsidRDefault="008150EB" w:rsidP="00334341">
            <w:r w:rsidRPr="008150EB">
              <w:t xml:space="preserve">A "Definição Operacional" (a ser criada) deve incluir os campos "Procedimento de Análise" e "Artefato de Armazenamento da Análise". A </w:t>
            </w:r>
            <w:proofErr w:type="spellStart"/>
            <w:r w:rsidRPr="008150EB">
              <w:t>BetSoft</w:t>
            </w:r>
            <w:proofErr w:type="spellEnd"/>
            <w:r w:rsidRPr="008150EB">
              <w:t xml:space="preserve"> deve formalizar que a análise ocorre na RLA e os artefatos são o RLA.docx e o RSI.pdf.</w:t>
            </w:r>
          </w:p>
        </w:tc>
      </w:tr>
      <w:tr w:rsidR="008150EB" w14:paraId="4568203D" w14:textId="77777777" w:rsidTr="008150EB">
        <w:tc>
          <w:tcPr>
            <w:tcW w:w="971" w:type="dxa"/>
          </w:tcPr>
          <w:p w14:paraId="088F02DD" w14:textId="77777777" w:rsidR="008150EB" w:rsidRDefault="008150EB" w:rsidP="00334341">
            <w:r>
              <w:t>MED 5</w:t>
            </w:r>
          </w:p>
        </w:tc>
        <w:tc>
          <w:tcPr>
            <w:tcW w:w="7246" w:type="dxa"/>
          </w:tcPr>
          <w:p w14:paraId="560CD585" w14:textId="2790BB08" w:rsidR="008150EB" w:rsidRDefault="008150EB" w:rsidP="00334341">
            <w:r w:rsidRPr="008150EB">
              <w:t>A "Reunião de Lições Aprendidas (RLA_BetSoft.docx)" deve mudar. Além de "apresentar" os indicadores, o gerente e a equipe devem usar a reunião para definir ações corretivas de processo baseadas nos indicadores. Essas ações (</w:t>
            </w:r>
            <w:proofErr w:type="spellStart"/>
            <w:r w:rsidRPr="008150EB">
              <w:t>ex</w:t>
            </w:r>
            <w:proofErr w:type="spellEnd"/>
            <w:r w:rsidRPr="008150EB">
              <w:t>: "revisar o Procedimento de Testes") devem ser registradas na "Planilha de Ações Corretivas" (AC) com a origem "RLA", para serem acompanhadas.</w:t>
            </w:r>
          </w:p>
        </w:tc>
      </w:tr>
      <w:tr w:rsidR="008150EB" w14:paraId="314F6BD1" w14:textId="77777777" w:rsidTr="008150EB">
        <w:tc>
          <w:tcPr>
            <w:tcW w:w="971" w:type="dxa"/>
          </w:tcPr>
          <w:p w14:paraId="126816BB" w14:textId="77777777" w:rsidR="008150EB" w:rsidRDefault="008150EB" w:rsidP="00334341">
            <w:r>
              <w:t>GDE 1</w:t>
            </w:r>
          </w:p>
        </w:tc>
        <w:tc>
          <w:tcPr>
            <w:tcW w:w="7246" w:type="dxa"/>
          </w:tcPr>
          <w:p w14:paraId="36AA5C7C" w14:textId="77777777" w:rsidR="0059748D" w:rsidRDefault="0059748D" w:rsidP="0059748D">
            <w:r>
              <w:t xml:space="preserve">Para que a </w:t>
            </w:r>
            <w:proofErr w:type="spellStart"/>
            <w:r>
              <w:t>BetSoft</w:t>
            </w:r>
            <w:proofErr w:type="spellEnd"/>
            <w:r>
              <w:t xml:space="preserve"> atinja a conformidade com o GDE 1, é essencial transformar a prática informal de registro de decisões em um processo formal e governado:</w:t>
            </w:r>
          </w:p>
          <w:p w14:paraId="40AAE42D" w14:textId="77777777" w:rsidR="0059748D" w:rsidRDefault="0059748D" w:rsidP="0059748D"/>
          <w:p w14:paraId="77007819" w14:textId="77777777" w:rsidR="0059748D" w:rsidRDefault="0059748D" w:rsidP="0059748D">
            <w:r>
              <w:t>Criação do Procedimento Formal: A empresa deve criar e documentar um "Procedimento de Gerência de Decisão". Este documento deve ser o artefato exigido pelo GDE 1, definindo claramente os tipos de decisões críticas (e.g., arquitetura, tecnologias-chave, mudanças em componentes) que obrigatoriamente exigem o uso do RDP.</w:t>
            </w:r>
          </w:p>
          <w:p w14:paraId="680C4A8B" w14:textId="77777777" w:rsidR="0059748D" w:rsidRDefault="0059748D" w:rsidP="0059748D"/>
          <w:p w14:paraId="3A94B341" w14:textId="77777777" w:rsidR="0059748D" w:rsidRDefault="0059748D" w:rsidP="0059748D">
            <w:r>
              <w:t>Definição de Autoridade e Papéis: O procedimento deve designar explicitamente quem possui a autoridade final para aprovar uma decisão (o Gerente/Proprietário) e quem é o responsável por iniciar e registrar o processo de decisão (o Desenvolvedor Pleno ou Líder Técnico).</w:t>
            </w:r>
          </w:p>
          <w:p w14:paraId="75AD88A5" w14:textId="77777777" w:rsidR="0059748D" w:rsidRDefault="0059748D" w:rsidP="0059748D"/>
          <w:p w14:paraId="1D601F73" w14:textId="77777777" w:rsidR="0059748D" w:rsidRDefault="0059748D" w:rsidP="0059748D"/>
          <w:p w14:paraId="0BA33BD9" w14:textId="59BCD45D" w:rsidR="0059748D" w:rsidRDefault="0059748D" w:rsidP="0059748D">
            <w:r>
              <w:t xml:space="preserve">Integração com a Qualidade: Para garantir que a diretriz seja usada consistentemente, o Checklist de Conformidade de Artefatos (CCA_2025.xlsx) do </w:t>
            </w:r>
            <w:r>
              <w:t>gerente deve</w:t>
            </w:r>
            <w:r>
              <w:t xml:space="preserve"> ser atualizado. Deve-se incluir um item de verificação que garanta que todas as decisões críticas identificadas no Plano de Projeto foram formalizadas, registradas no RDP e formalmente aprovadas pelo papel com autoridade definida.</w:t>
            </w:r>
          </w:p>
          <w:p w14:paraId="103BA8BC" w14:textId="77777777" w:rsidR="0059748D" w:rsidRDefault="0059748D" w:rsidP="0059748D"/>
          <w:p w14:paraId="5BC4F0EA" w14:textId="77777777" w:rsidR="0059748D" w:rsidRDefault="0059748D" w:rsidP="0059748D">
            <w:r>
              <w:t>Manutenção e Atualização: A diretriz deve ser revisada periodicamente (e.g., anualmente) para garantir que permaneça relevante para as tecnologias e a estrutura atual da empresa, garantindo que o requisito de ser "mantida atualizada" seja atendido.</w:t>
            </w:r>
          </w:p>
          <w:p w14:paraId="2D5B18D3" w14:textId="77777777" w:rsidR="0059748D" w:rsidRDefault="0059748D" w:rsidP="0059748D"/>
          <w:p w14:paraId="7D90A679" w14:textId="1AD42C00" w:rsidR="008150EB" w:rsidRDefault="0059748D" w:rsidP="0059748D">
            <w:r>
              <w:lastRenderedPageBreak/>
              <w:t xml:space="preserve">Ao implementar esses passos, a </w:t>
            </w:r>
            <w:proofErr w:type="spellStart"/>
            <w:r>
              <w:t>BetSoft</w:t>
            </w:r>
            <w:proofErr w:type="spellEnd"/>
            <w:r>
              <w:t xml:space="preserve"> estabelece a governança e a consistência necessárias para o GDE 1, garantindo que a tomada de decisão seja um processo estruturado, e não apenas uma documentação reativa.</w:t>
            </w:r>
          </w:p>
        </w:tc>
      </w:tr>
      <w:tr w:rsidR="008150EB" w14:paraId="5EB60632" w14:textId="77777777" w:rsidTr="008150EB">
        <w:tc>
          <w:tcPr>
            <w:tcW w:w="971" w:type="dxa"/>
          </w:tcPr>
          <w:p w14:paraId="4EE7EE24" w14:textId="77777777" w:rsidR="008150EB" w:rsidRDefault="008150EB" w:rsidP="00334341">
            <w:r>
              <w:lastRenderedPageBreak/>
              <w:t>GDE 2</w:t>
            </w:r>
          </w:p>
        </w:tc>
        <w:tc>
          <w:tcPr>
            <w:tcW w:w="7246" w:type="dxa"/>
          </w:tcPr>
          <w:p w14:paraId="2E05DE32" w14:textId="77777777" w:rsidR="0059748D" w:rsidRDefault="0059748D" w:rsidP="0059748D">
            <w:r>
              <w:t>1. Estruturação do Artefato (RDP)</w:t>
            </w:r>
          </w:p>
          <w:p w14:paraId="3229F71C" w14:textId="77777777" w:rsidR="0059748D" w:rsidRDefault="0059748D" w:rsidP="0059748D">
            <w:r>
              <w:t>O Registro de Decisões do Projeto (RDP_&lt;projeto&gt;.</w:t>
            </w:r>
            <w:proofErr w:type="spellStart"/>
            <w:r>
              <w:t>docx</w:t>
            </w:r>
            <w:proofErr w:type="spellEnd"/>
            <w:r>
              <w:t>) deve ser revisado para incluir um campo obrigatório chamado, por exemplo, "Questão/Problema a ser Resolvido". Este campo deve ser o primeiro a ser preenchido, exigindo que o desenvolvedor descreva de forma concisa e objetiva o dilema técnico ou o requisito que demanda uma decisão formal.</w:t>
            </w:r>
          </w:p>
          <w:p w14:paraId="0EF9C9F0" w14:textId="77777777" w:rsidR="0059748D" w:rsidRDefault="0059748D" w:rsidP="0059748D"/>
          <w:p w14:paraId="1FC4AAB8" w14:textId="77777777" w:rsidR="0059748D" w:rsidRDefault="0059748D" w:rsidP="0059748D">
            <w:r>
              <w:t>2. Definição no Novo Procedimento (GDE 1)</w:t>
            </w:r>
          </w:p>
          <w:p w14:paraId="56D626F7" w14:textId="77777777" w:rsidR="0059748D" w:rsidRDefault="0059748D" w:rsidP="0059748D">
            <w:r>
              <w:t>O novo "Procedimento de Gerência de Decisão" (criado para atender ao GDE 1) deve institucionalizar a obrigatoriedade de:</w:t>
            </w:r>
          </w:p>
          <w:p w14:paraId="70A1AE90" w14:textId="77777777" w:rsidR="0059748D" w:rsidRDefault="0059748D" w:rsidP="0059748D"/>
          <w:p w14:paraId="05B2CC8B" w14:textId="77777777" w:rsidR="0059748D" w:rsidRDefault="0059748D" w:rsidP="0059748D">
            <w:r>
              <w:t>Definir a Questão: Declarar que o processo formal de decisão começa com a definição e o registro do problema ou questão no RDP (atendendo ao GDE 2).</w:t>
            </w:r>
          </w:p>
          <w:p w14:paraId="375D9849" w14:textId="77777777" w:rsidR="0059748D" w:rsidRDefault="0059748D" w:rsidP="0059748D"/>
          <w:p w14:paraId="62D617D4" w14:textId="77777777" w:rsidR="008150EB" w:rsidRDefault="0059748D" w:rsidP="0059748D">
            <w:r>
              <w:t>Revisão Focada: Estabelecer que, durante a revisão do RDP, o gerente (o papel com autoridade) deve, em primeiro lugar, verificar a clareza e a completude da definição do problema antes de analisar as alternativas e a justificativa final.</w:t>
            </w:r>
          </w:p>
          <w:p w14:paraId="7164D91E" w14:textId="77777777" w:rsidR="0059748D" w:rsidRDefault="0059748D" w:rsidP="0059748D"/>
          <w:p w14:paraId="3FFCCBED" w14:textId="77777777" w:rsidR="0059748D" w:rsidRDefault="0059748D" w:rsidP="0059748D">
            <w:r>
              <w:t>3. Integração com a Análise de Requisitos (GRE)</w:t>
            </w:r>
          </w:p>
          <w:p w14:paraId="60282A6C" w14:textId="77777777" w:rsidR="0059748D" w:rsidRDefault="0059748D" w:rsidP="0059748D">
            <w:r>
              <w:t>A equipe deve garantir que as decisões que surgem da análise de requisitos (especialmente aquelas que impactam o Documento de Arquitetura de Software - DAS) sejam formalmente definidas. Quando um requisito força uma escolha técnica complexa, o RDP deve ser aberto e o requisito deve ser traduzido em uma Questão de Decisão (GDE 2) que será resolvida formalmente.</w:t>
            </w:r>
          </w:p>
          <w:p w14:paraId="7FF05D94" w14:textId="77777777" w:rsidR="0059748D" w:rsidRDefault="0059748D" w:rsidP="0059748D"/>
          <w:p w14:paraId="1E9895C2" w14:textId="4342E9A1" w:rsidR="0059748D" w:rsidRDefault="0059748D" w:rsidP="0059748D">
            <w:r>
              <w:t xml:space="preserve">Ao implementar essas ações, a </w:t>
            </w:r>
            <w:proofErr w:type="spellStart"/>
            <w:r>
              <w:t>BetSoft</w:t>
            </w:r>
            <w:proofErr w:type="spellEnd"/>
            <w:r>
              <w:t xml:space="preserve"> garante que o problema ou questão se torna o objeto formal e definido que inicia o processo de Gerência de Decisão, corrigindo a falha no GDE 2.</w:t>
            </w:r>
          </w:p>
        </w:tc>
      </w:tr>
      <w:tr w:rsidR="008150EB" w14:paraId="20CDD67C" w14:textId="77777777" w:rsidTr="008150EB">
        <w:tc>
          <w:tcPr>
            <w:tcW w:w="971" w:type="dxa"/>
          </w:tcPr>
          <w:p w14:paraId="08189A63" w14:textId="77777777" w:rsidR="008150EB" w:rsidRDefault="008150EB" w:rsidP="00334341">
            <w:r>
              <w:t>GDE 3</w:t>
            </w:r>
          </w:p>
        </w:tc>
        <w:tc>
          <w:tcPr>
            <w:tcW w:w="7246" w:type="dxa"/>
          </w:tcPr>
          <w:p w14:paraId="40023F0E" w14:textId="77777777" w:rsidR="0059748D" w:rsidRDefault="0059748D" w:rsidP="0059748D">
            <w:r>
              <w:t>A correção do GDE 3 exige a complementação das ações de GDE 1 e GDE 2, garantindo que o RDP se torne uma ferramenta de análise comparativa, e não apenas um registro da solução final.</w:t>
            </w:r>
          </w:p>
          <w:p w14:paraId="3139D7A6" w14:textId="77777777" w:rsidR="0059748D" w:rsidRDefault="0059748D" w:rsidP="0059748D"/>
          <w:p w14:paraId="1312D3CC" w14:textId="77777777" w:rsidR="0059748D" w:rsidRDefault="0059748D" w:rsidP="0059748D">
            <w:r>
              <w:t>1. Revisão e Estruturação do Artefato (RDP)</w:t>
            </w:r>
          </w:p>
          <w:p w14:paraId="54540071" w14:textId="77777777" w:rsidR="0059748D" w:rsidRDefault="0059748D" w:rsidP="0059748D">
            <w:r>
              <w:t>O Registro de Decisões do Projeto (RDP_&lt;projeto&gt;.</w:t>
            </w:r>
            <w:proofErr w:type="spellStart"/>
            <w:r>
              <w:t>docx</w:t>
            </w:r>
            <w:proofErr w:type="spellEnd"/>
            <w:r>
              <w:t>) deve ser alterado para incluir uma seção formal e obrigatória chamada, por exemplo, "Alternativas de Solução Avaliadas". Esta seção deve exigir:</w:t>
            </w:r>
          </w:p>
          <w:p w14:paraId="35A1C5E5" w14:textId="77777777" w:rsidR="0059748D" w:rsidRDefault="0059748D" w:rsidP="0059748D"/>
          <w:p w14:paraId="1A31A9AD" w14:textId="77777777" w:rsidR="0059748D" w:rsidRDefault="0059748D" w:rsidP="0059748D">
            <w:r>
              <w:t>Identificação: Nome e breve descrição de cada alternativa considerada (não apenas a escolhida).</w:t>
            </w:r>
          </w:p>
          <w:p w14:paraId="7E471042" w14:textId="77777777" w:rsidR="0059748D" w:rsidRDefault="0059748D" w:rsidP="0059748D"/>
          <w:p w14:paraId="0747BFF2" w14:textId="77777777" w:rsidR="0059748D" w:rsidRDefault="0059748D" w:rsidP="0059748D">
            <w:r>
              <w:lastRenderedPageBreak/>
              <w:t>Avaliação: Registro dos critérios de avaliação (já mencionados no caso) aplicados a cada alternativa para justificar a pontuação ou classificação.</w:t>
            </w:r>
          </w:p>
          <w:p w14:paraId="669B6614" w14:textId="77777777" w:rsidR="0059748D" w:rsidRDefault="0059748D" w:rsidP="0059748D"/>
          <w:p w14:paraId="72A7EBD3" w14:textId="77777777" w:rsidR="0059748D" w:rsidRDefault="0059748D" w:rsidP="0059748D">
            <w:r>
              <w:t>2. Definição no Novo Procedimento (GDE 1)</w:t>
            </w:r>
          </w:p>
          <w:p w14:paraId="2F0EE056" w14:textId="77777777" w:rsidR="0059748D" w:rsidRDefault="0059748D" w:rsidP="0059748D">
            <w:r>
              <w:t>O "Procedimento de Gerência de Decisão" (implementado para o GDE 1) deve institucionalizar:</w:t>
            </w:r>
          </w:p>
          <w:p w14:paraId="68C0FF42" w14:textId="77777777" w:rsidR="0059748D" w:rsidRDefault="0059748D" w:rsidP="0059748D"/>
          <w:p w14:paraId="4F0D73C6" w14:textId="77777777" w:rsidR="0059748D" w:rsidRDefault="0059748D" w:rsidP="0059748D">
            <w:r>
              <w:t>Obrigatoriedade da Busca: Exigir que o desenvolvedor identifique e registre no mínimo duas ou três alternativas viáveis (quando aplicável) antes de submeter a decisão para aprovação.</w:t>
            </w:r>
          </w:p>
          <w:p w14:paraId="521F42E1" w14:textId="77777777" w:rsidR="0059748D" w:rsidRDefault="0059748D" w:rsidP="0059748D"/>
          <w:p w14:paraId="14558450" w14:textId="77777777" w:rsidR="0059748D" w:rsidRDefault="0059748D" w:rsidP="0059748D">
            <w:r>
              <w:t>Método de Decisão Formal: Definir que o método de decisão (como votação, matriz de pontuação, ou análise de prós e contras) deve ser aplicado de forma transparente a todas as alternativas registradas antes de se chegar à solução recomendada.</w:t>
            </w:r>
          </w:p>
          <w:p w14:paraId="2FC1AAFC" w14:textId="77777777" w:rsidR="0059748D" w:rsidRDefault="0059748D" w:rsidP="0059748D"/>
          <w:p w14:paraId="33C948AF" w14:textId="77777777" w:rsidR="0059748D" w:rsidRDefault="0059748D" w:rsidP="0059748D">
            <w:r>
              <w:t>3. Foco na Revisão do Gerente</w:t>
            </w:r>
          </w:p>
          <w:p w14:paraId="4BF631D2" w14:textId="77777777" w:rsidR="0059748D" w:rsidRDefault="0059748D" w:rsidP="0059748D">
            <w:r>
              <w:t>Durante a revisão do RDP, o gerente (o papel com autoridade) deve focar em:</w:t>
            </w:r>
          </w:p>
          <w:p w14:paraId="3EE233BC" w14:textId="77777777" w:rsidR="0059748D" w:rsidRDefault="0059748D" w:rsidP="0059748D"/>
          <w:p w14:paraId="06E78319" w14:textId="77777777" w:rsidR="0059748D" w:rsidRDefault="0059748D" w:rsidP="0059748D">
            <w:r>
              <w:t>Completude do GDE 3: Verificar se as alternativas foram registradas e se a aplicação dos critérios de avaliação é justa e logicamente consistente, garantindo que a solução recomendada foi a melhor entre as opções identificadas.</w:t>
            </w:r>
          </w:p>
          <w:p w14:paraId="7A9D1AB7" w14:textId="77777777" w:rsidR="0059748D" w:rsidRDefault="0059748D" w:rsidP="0059748D"/>
          <w:p w14:paraId="7DC8F0E1" w14:textId="7816C701" w:rsidR="008150EB" w:rsidRDefault="0059748D" w:rsidP="0059748D">
            <w:r>
              <w:t xml:space="preserve">Ao implementar essas ações, a </w:t>
            </w:r>
            <w:proofErr w:type="spellStart"/>
            <w:r>
              <w:t>BetSoft</w:t>
            </w:r>
            <w:proofErr w:type="spellEnd"/>
            <w:r>
              <w:t xml:space="preserve"> garante que as decisões não são tomadas de forma isolada, mas sim baseadas em uma análise estruturada de alternativas, corrigindo a falha no GDE 3.</w:t>
            </w:r>
          </w:p>
        </w:tc>
      </w:tr>
      <w:tr w:rsidR="008150EB" w14:paraId="31C78A7F" w14:textId="77777777" w:rsidTr="008150EB">
        <w:tc>
          <w:tcPr>
            <w:tcW w:w="971" w:type="dxa"/>
          </w:tcPr>
          <w:p w14:paraId="13AA1882" w14:textId="77777777" w:rsidR="008150EB" w:rsidRDefault="008150EB" w:rsidP="00334341">
            <w:r>
              <w:lastRenderedPageBreak/>
              <w:t>GDE 4</w:t>
            </w:r>
          </w:p>
        </w:tc>
        <w:tc>
          <w:tcPr>
            <w:tcW w:w="7246" w:type="dxa"/>
          </w:tcPr>
          <w:p w14:paraId="71505486" w14:textId="08E90EE6" w:rsidR="008150EB" w:rsidRPr="008150EB" w:rsidRDefault="008150EB" w:rsidP="00334341">
            <w:r w:rsidRPr="008150EB">
              <w:t>Criar um modelo de tabela de critérios de decisão no início de cada projeto (</w:t>
            </w:r>
            <w:proofErr w:type="spellStart"/>
            <w:r w:rsidRPr="008150EB">
              <w:t>ex</w:t>
            </w:r>
            <w:proofErr w:type="spellEnd"/>
            <w:r w:rsidRPr="008150EB">
              <w:t>: custo, prazo, desempenho, risco, facilidade de manutenção).</w:t>
            </w:r>
            <w:r w:rsidRPr="008150EB">
              <w:br/>
              <w:t>Incluir essa tabela na Reunião de Alinhamento Semanal sempre que houver decisões técnicas (</w:t>
            </w:r>
            <w:proofErr w:type="spellStart"/>
            <w:r w:rsidRPr="008150EB">
              <w:t>ex</w:t>
            </w:r>
            <w:proofErr w:type="spellEnd"/>
            <w:r w:rsidRPr="008150EB">
              <w:t>: escolha de tecnologia, ferramenta, arquitetura).</w:t>
            </w:r>
            <w:r w:rsidRPr="008150EB">
              <w:br/>
              <w:t>Registrar os crit</w:t>
            </w:r>
            <w:r w:rsidRPr="008150EB">
              <w:rPr>
                <w:rFonts w:ascii="Aptos" w:hAnsi="Aptos" w:cs="Aptos"/>
              </w:rPr>
              <w:t>é</w:t>
            </w:r>
            <w:r w:rsidRPr="008150EB">
              <w:t>rios escolhidos no pr</w:t>
            </w:r>
            <w:r w:rsidRPr="008150EB">
              <w:rPr>
                <w:rFonts w:ascii="Aptos" w:hAnsi="Aptos" w:cs="Aptos"/>
              </w:rPr>
              <w:t>ó</w:t>
            </w:r>
            <w:r w:rsidRPr="008150EB">
              <w:t xml:space="preserve">prio </w:t>
            </w:r>
            <w:r w:rsidRPr="008150EB">
              <w:rPr>
                <w:i/>
                <w:iCs/>
              </w:rPr>
              <w:t>RDP_&lt;projeto&gt;.</w:t>
            </w:r>
            <w:proofErr w:type="spellStart"/>
            <w:r w:rsidRPr="008150EB">
              <w:rPr>
                <w:i/>
                <w:iCs/>
              </w:rPr>
              <w:t>docx</w:t>
            </w:r>
            <w:proofErr w:type="spellEnd"/>
            <w:r w:rsidRPr="008150EB">
              <w:t xml:space="preserve"> com data, responsáveis e justificativa.</w:t>
            </w:r>
          </w:p>
        </w:tc>
      </w:tr>
      <w:tr w:rsidR="008150EB" w14:paraId="32C8BB91" w14:textId="77777777" w:rsidTr="008150EB">
        <w:tc>
          <w:tcPr>
            <w:tcW w:w="971" w:type="dxa"/>
          </w:tcPr>
          <w:p w14:paraId="4F1900AE" w14:textId="77777777" w:rsidR="008150EB" w:rsidRDefault="008150EB" w:rsidP="00334341">
            <w:r>
              <w:t>GDE 5</w:t>
            </w:r>
          </w:p>
        </w:tc>
        <w:tc>
          <w:tcPr>
            <w:tcW w:w="7246" w:type="dxa"/>
          </w:tcPr>
          <w:p w14:paraId="0CF51F91" w14:textId="14ADB8EC" w:rsidR="008150EB" w:rsidRPr="008150EB" w:rsidRDefault="008150EB" w:rsidP="00334341">
            <w:r w:rsidRPr="008150EB">
              <w:t>Adotar métodos simples e padronizados para comparação de alternativas, como:</w:t>
            </w:r>
            <w:r w:rsidRPr="008150EB">
              <w:br/>
            </w:r>
            <w:r w:rsidRPr="008150EB">
              <w:t xml:space="preserve"> - </w:t>
            </w:r>
            <w:r w:rsidRPr="008150EB">
              <w:t>Matriz de decisão ponderada (pontuar cada alternativa pelos critérios definidos);</w:t>
            </w:r>
            <w:r w:rsidRPr="008150EB">
              <w:br/>
            </w:r>
            <w:r w:rsidRPr="008150EB">
              <w:t xml:space="preserve"> - </w:t>
            </w:r>
            <w:r w:rsidRPr="008150EB">
              <w:t>Análise de prós e contras documentada.</w:t>
            </w:r>
            <w:r w:rsidRPr="008150EB">
              <w:br/>
              <w:t xml:space="preserve">Definir no </w:t>
            </w:r>
            <w:r w:rsidRPr="008150EB">
              <w:rPr>
                <w:i/>
                <w:iCs/>
              </w:rPr>
              <w:t>RDP</w:t>
            </w:r>
            <w:r w:rsidRPr="008150EB">
              <w:t xml:space="preserve"> um campo obrigatório: “Método utilizado para avaliação” e anexar evidências (planilha ou print).</w:t>
            </w:r>
            <w:r w:rsidRPr="008150EB">
              <w:br/>
              <w:t>Treinar os desenvolvedores e o gerente no uso desses m</w:t>
            </w:r>
            <w:r w:rsidRPr="008150EB">
              <w:rPr>
                <w:rFonts w:ascii="Aptos" w:hAnsi="Aptos" w:cs="Aptos"/>
              </w:rPr>
              <w:t>é</w:t>
            </w:r>
            <w:r w:rsidRPr="008150EB">
              <w:t>todos, incorporando o procedimento ao processo padr</w:t>
            </w:r>
            <w:r w:rsidRPr="008150EB">
              <w:rPr>
                <w:rFonts w:ascii="Aptos" w:hAnsi="Aptos" w:cs="Aptos"/>
              </w:rPr>
              <w:t>ã</w:t>
            </w:r>
            <w:r w:rsidRPr="008150EB">
              <w:t>o (</w:t>
            </w:r>
            <w:proofErr w:type="spellStart"/>
            <w:r w:rsidRPr="008150EB">
              <w:t>ex</w:t>
            </w:r>
            <w:proofErr w:type="spellEnd"/>
            <w:r w:rsidRPr="008150EB">
              <w:t xml:space="preserve">: </w:t>
            </w:r>
            <w:proofErr w:type="spellStart"/>
            <w:r w:rsidRPr="008150EB">
              <w:t>PCC_GitHub</w:t>
            </w:r>
            <w:proofErr w:type="spellEnd"/>
            <w:r w:rsidRPr="008150EB">
              <w:t xml:space="preserve"> ou PID_v2.0).</w:t>
            </w:r>
          </w:p>
        </w:tc>
      </w:tr>
      <w:tr w:rsidR="008150EB" w14:paraId="22E35A87" w14:textId="77777777" w:rsidTr="008150EB">
        <w:tc>
          <w:tcPr>
            <w:tcW w:w="971" w:type="dxa"/>
          </w:tcPr>
          <w:p w14:paraId="59D084DD" w14:textId="77777777" w:rsidR="008150EB" w:rsidRDefault="008150EB" w:rsidP="00334341">
            <w:r>
              <w:t>GDE 6</w:t>
            </w:r>
          </w:p>
        </w:tc>
        <w:tc>
          <w:tcPr>
            <w:tcW w:w="7246" w:type="dxa"/>
          </w:tcPr>
          <w:p w14:paraId="6248EE1B" w14:textId="368AA26F" w:rsidR="008150EB" w:rsidRPr="008150EB" w:rsidRDefault="008150EB" w:rsidP="00334341">
            <w:r w:rsidRPr="008150EB">
              <w:t>Nas reuniões semanais, quando surgir uma decisão (</w:t>
            </w:r>
            <w:proofErr w:type="spellStart"/>
            <w:r w:rsidRPr="008150EB">
              <w:t>ex</w:t>
            </w:r>
            <w:proofErr w:type="spellEnd"/>
            <w:r w:rsidRPr="008150EB">
              <w:t>: escolher framework, formato de teste, ou integração), registrar pelo menos duas alternativas avaliadas, o resultado da matriz de decisão e a escolha final.</w:t>
            </w:r>
            <w:r w:rsidRPr="008150EB">
              <w:br/>
            </w:r>
            <w:r w:rsidRPr="008150EB">
              <w:lastRenderedPageBreak/>
              <w:t xml:space="preserve">Inserir no </w:t>
            </w:r>
            <w:r w:rsidRPr="008150EB">
              <w:rPr>
                <w:i/>
                <w:iCs/>
              </w:rPr>
              <w:t>RDP</w:t>
            </w:r>
            <w:r w:rsidRPr="008150EB">
              <w:t xml:space="preserve"> uma seção “Alternativas Consideradas” com breve descrição e pontuação.</w:t>
            </w:r>
            <w:r w:rsidRPr="008150EB">
              <w:br/>
              <w:t>Publicar as decis</w:t>
            </w:r>
            <w:r w:rsidRPr="008150EB">
              <w:rPr>
                <w:rFonts w:ascii="Aptos" w:hAnsi="Aptos" w:cs="Aptos"/>
              </w:rPr>
              <w:t>õ</w:t>
            </w:r>
            <w:r w:rsidRPr="008150EB">
              <w:t>es aprovadas na pasta de Decisões Técnicas e apresentar os resultados na Reunião de Lições Aprendidas, destacando as que foram eficazes.</w:t>
            </w:r>
          </w:p>
        </w:tc>
      </w:tr>
    </w:tbl>
    <w:p w14:paraId="0F01C1D7" w14:textId="77777777" w:rsidR="008150EB" w:rsidRDefault="008150EB"/>
    <w:sectPr w:rsidR="008150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EB"/>
    <w:rsid w:val="0059748D"/>
    <w:rsid w:val="006879BF"/>
    <w:rsid w:val="0081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5F633"/>
  <w15:chartTrackingRefBased/>
  <w15:docId w15:val="{125D9CD6-7694-4FCC-92AA-E22ABF1C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0E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1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5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5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5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5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5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50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50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50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50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50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50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50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50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50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5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50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50E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150E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1163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Goncalves Marafon</dc:creator>
  <cp:keywords/>
  <dc:description/>
  <cp:lastModifiedBy>Guilherme Goncalves Marafon</cp:lastModifiedBy>
  <cp:revision>2</cp:revision>
  <dcterms:created xsi:type="dcterms:W3CDTF">2025-11-11T00:01:00Z</dcterms:created>
  <dcterms:modified xsi:type="dcterms:W3CDTF">2025-11-11T00:26:00Z</dcterms:modified>
</cp:coreProperties>
</file>