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Segurança da Informação - Noite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Data: 08/Out/2020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Fernanda Pinheiro Reis</w:t>
        <w:tab/>
        <w:tab/>
        <w:t xml:space="preserve">     RA: 1110481823022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575"/>
        <w:gridCol w:w="765"/>
        <w:gridCol w:w="1980"/>
        <w:gridCol w:w="660"/>
        <w:gridCol w:w="1365"/>
        <w:tblGridChange w:id="0">
          <w:tblGrid>
            <w:gridCol w:w="630"/>
            <w:gridCol w:w="1575"/>
            <w:gridCol w:w="765"/>
            <w:gridCol w:w="1980"/>
            <w:gridCol w:w="660"/>
            <w:gridCol w:w="1365"/>
          </w:tblGrid>
        </w:tblGridChange>
      </w:tblGrid>
      <w:tr>
        <w:trPr>
          <w:trHeight w:val="420" w:hRule="atLeast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Capitulo 1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Capítulo 3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Capítulo 5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C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B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False 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A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C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A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True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3"/>
                <w:szCs w:val="23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3"/>
                <w:szCs w:val="23"/>
                <w:rtl w:val="0"/>
              </w:rPr>
              <w:t xml:space="preserve">True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</w:t>
            </w:r>
          </w:p>
        </w:tc>
      </w:tr>
      <w:tr>
        <w:trPr>
          <w:trHeight w:val="420" w:hRule="atLeast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-1080" w:firstLine="0"/>
              <w:jc w:val="righ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         Pelo menos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-1080" w:firstLine="0"/>
              <w:jc w:val="righ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25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-1080" w:firstLine="0"/>
              <w:jc w:val="righ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substituições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