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ESTÁGIO SUPERVISIONADO OBRIGATÓRIO I</w:t>
            </w:r>
          </w:p>
        </w:tc>
        <w:tc>
          <w:tcPr>
            <w:gridSpan w:val="2"/>
            <w:tcBorders>
              <w:top w:color="000000" w:space="0" w:sz="6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05501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DEPARTAMENTO DE EDUCAÇÃO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EDUCAÇÃO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90H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 -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05139 - FUND. FIL. HIST. E SOC. DA EDUCAÇÃO, 05498 - EDUCAÇÃO BRASILEIRA: LEGISLAÇÃO, ORGANIZAÇÃO E POLÍTICAS e 05500 - METODOLOGIA DO ENSINO DA COMPUTAÇÃO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Observação com reflexão de atividades pedagógicas desenvolvidas em escola de ensino fundamental, médio ou integrado médio-técnico, na área de Computação. O aluno apresentará um relatório circunstanciado de seu estágio envolvendo a descrição dos fenômenos observados em sala com uma reflexão crítica em torno deles. A experiência reflexiva deve considerar aspectos motivacionais, curriculares e técnicos. Essa reflexão não deve envolver apenas um referencial teórico da bagagem adquirida pelas disciplinas do curso, mas a relação teoria-prática-referencial. Entende-se por referencial o ambiente em que a ação docente foi desenvolvida, no caso a escola em toda a sua complexidade. No relatório o aluno deverá apontar soluções factíveis ou propostas em face da observação desenvolvida.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AMARAL, S. J. Escolas autônomas e secretarias eficientes. Boletim técnico, Brasília, MEC – FUNDESCOLA, ano 3 nº 20 p.p 3/5, agosto, 1998.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Committee for the Workshops on Computational Thinking. Report of a Workshop on the Pedagogical Aspects of Computational Thinking. National Research Council. Washington, DC, 2011. Disponível em </w:t>
            </w:r>
            <w:hyperlink r:id="rId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https://www.nap.edu/catalog/13170/report-of-a-workshop-on-thepedagogical-aspects-of-computational-thinking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Committee for the Workshops on Computational Thinking. Report of a Workshop on the Scope and Nature of Computational Thinking. National Research Council. Washington, DC, 2010. Disponível em </w:t>
            </w: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https://www.nap.edu/catalog/12840/report-of-a-workshop-on-the-scope-andnature-of-computational-thinking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COSTA, C. &amp; SILVA, I. N. Planejamento Participativo: prática da cidadania ou cidadania na prática? RBAE, ano 24, nº 96, julho/setembro 1993.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DEMO, P. Educação de Qualidade. Campinas, São Paulo: Papirus, 1994. 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FAZENDA, Ivani C. Arantes. Interdisciplinaridade: história, teoria e pesquisa. Campinas, SP: Papirus, 1994.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HORA, D. L. Gestão Democrática na Escola: artes e ofícios da participação. São Paulo: Papirus, 1994.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LIBÂNEO, J. C. Organização e gestão da escola: teoria e prática. 3.ed. Goiânia: Alternativa, 2001.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LIMA, M. S. L. [et al]. A hora da prática: reflexões sobre o estágio supervisionado e a ação docente. 4. ed., Fortaleza: Edições Demócrito Rocha, 2004.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LOPES, K. M. V.; TELES, M. M. R.; PATRÍCIO, P. C. S. (orgs). Estágio Supervisionado em Computação: Reflexões e Relatos. 1 ed.. Curitiba, Appris, 2016.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MOREIRA, A. F. B. Identidades, saberes e práticas. Texto apresentado para professores da Rede Municipal do Recife, Programa de Formação Continuada do 3° e 4° ciclos, julho, Recife, 2006.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VEIGA, I. P. A. Projeto Político-Pedagógico da Escola: Uma Construção Possível. Campinas, São Paulo: Papirus, 1995.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Anais do Workshop de Educação em Computação do Congresso Brasileiro da Sociedade Brasileira de Computação - WEI-CSBC. Disponíveis em: . Acesso em 30/04/2017.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Anais do Workshop de Informática na Escola - WIE. Disponíveis em: . Acesso em 30/04/2017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BARREIRO, I. M. de F. Prática de Ensino e Estágio Supervisionado na Formação de 54 Professores. São Paulo: AVERCAMP, 2006.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HERNANDEZ, F. Transgressão e mudança na educação: os projetos de trabalho. Porto Alegre: Artmed, 1998. LÜCK, H. Pedagogia interdisciplinar: fundamentos teórico-metodológicos. Petrópolis: Ed. Vozes, 1994.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MOREIRA, M.A. Aprendizagem significativa. Brasília: Ed. UnB, 1999.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PICONEZ, S. C. B. (Coord.). A prática de ensino e o estágio supervisionado. 5. ed. Campinas Papirus, 2000. (Coleção magistério: formação e trabalho pedagógico).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PIMENTA, Selma Garrido; LIMA, Maria Socorro Lucena. Estágio e Docência. São Paulo: Cortez, 2004. (Coleção docência em formação. Série saberes pedagógicos).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SILVA, M. A. Administração dos Conflitos Sociais: as reformas administrativas e educacionais como resposta às questões emergentes da prática social (o caso de Minas Gerais). Tese de  Doutorado, Unicamp: Campinas, 1997.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The Computer Science Teachers Association Task Force. K-12 Computer Science Standards, ACM, 2011. Disponível em: https://csta.acm.org/Curriculum/sub/CurrFiles/CSTA_K12_CSS.pdf (Resumo em português disponível em: Resumo de Objetivos de Aprendizagem de Computação no Ensino Fundamental (Currículo de Referência CSTA/ACM K-12) http://www.computacaonaescola.ufsc.br/wp-content/uploads/2013/09/CurriculoACMIEEEresumido-PORT_v10.pdf )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VALENTE, J. A. (orgs). O computador na sociedade do conhecimento.Campinas, SP: SP: UNICAMP/NIED, 1999.</w:t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jc w:val="both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*Essa disciplina poderá ter até 4 encontros a distância, se aprovado em plano de ensino pelo colegiado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5C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5D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5E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ap.edu/catalog/13170/report-of-a-workshop-on-thepedagogical-aspects-of-computational-thinking" TargetMode="External"/><Relationship Id="rId7" Type="http://schemas.openxmlformats.org/officeDocument/2006/relationships/hyperlink" Target="https://www.nap.edu/catalog/12840/report-of-a-workshop-on-the-scope-andnature-of-computational-thinkin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