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ageBreakBefore w:val="0"/>
              <w:widowControl w:val="0"/>
              <w:spacing w:line="240" w:lineRule="auto"/>
              <w:jc w:val="center"/>
              <w:rPr>
                <w:rFonts w:ascii="Roboto" w:cs="Roboto" w:eastAsia="Roboto" w:hAnsi="Robot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0"/>
                <w:szCs w:val="20"/>
                <w:rtl w:val="0"/>
              </w:rPr>
              <w:t xml:space="preserve">PROGRAMA DA DISCIPLINA</w:t>
            </w:r>
          </w:p>
        </w:tc>
      </w:tr>
    </w:tbl>
    <w:p w:rsidR="00000000" w:rsidDel="00000000" w:rsidP="00000000" w:rsidRDefault="00000000" w:rsidRPr="00000000" w14:paraId="00000003">
      <w:pPr>
        <w:pageBreakBefore w:val="0"/>
        <w:rPr>
          <w:rFonts w:ascii="Georgia" w:cs="Georgia" w:eastAsia="Georgia" w:hAnsi="Georgia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360"/>
        <w:gridCol w:w="1530"/>
        <w:gridCol w:w="540"/>
        <w:gridCol w:w="900"/>
        <w:gridCol w:w="255"/>
        <w:gridCol w:w="870"/>
        <w:gridCol w:w="1575"/>
        <w:tblGridChange w:id="0">
          <w:tblGrid>
            <w:gridCol w:w="3360"/>
            <w:gridCol w:w="1530"/>
            <w:gridCol w:w="540"/>
            <w:gridCol w:w="900"/>
            <w:gridCol w:w="255"/>
            <w:gridCol w:w="870"/>
            <w:gridCol w:w="1575"/>
          </w:tblGrid>
        </w:tblGridChange>
      </w:tblGrid>
      <w:tr>
        <w:trPr>
          <w:cantSplit w:val="0"/>
          <w:trHeight w:val="400" w:hRule="atLeast"/>
          <w:tblHeader w:val="0"/>
        </w:trPr>
        <w:tc>
          <w:tcPr>
            <w:gridSpan w:val="7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ageBreakBefore w:val="0"/>
              <w:spacing w:line="240" w:lineRule="auto"/>
              <w:jc w:val="center"/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0"/>
                <w:szCs w:val="20"/>
                <w:rtl w:val="0"/>
              </w:rPr>
              <w:t xml:space="preserve">IDENTIFICAÇÃO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" w:hRule="atLeast"/>
          <w:tblHeader w:val="0"/>
        </w:trPr>
        <w:tc>
          <w:tcPr>
            <w:gridSpan w:val="5"/>
            <w:tcBorders>
              <w:top w:color="000000" w:space="0" w:sz="6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ageBreakBefore w:val="0"/>
              <w:spacing w:line="240" w:lineRule="auto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NOME:</w:t>
            </w: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 ESTÁGIO SUPERVISIONADO OBRIGATÓRIO III</w:t>
            </w:r>
          </w:p>
        </w:tc>
        <w:tc>
          <w:tcPr>
            <w:gridSpan w:val="2"/>
            <w:tcBorders>
              <w:top w:color="000000" w:space="0" w:sz="6" w:val="single"/>
              <w:left w:color="ffffff" w:space="0" w:sz="8" w:val="single"/>
              <w:bottom w:color="ffffff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ageBreakBefore w:val="0"/>
              <w:spacing w:line="240" w:lineRule="auto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CÓDIGO: </w:t>
            </w: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NENHUM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gridSpan w:val="3"/>
            <w:tcBorders>
              <w:top w:color="ffffff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ageBreakBefore w:val="0"/>
              <w:spacing w:line="240" w:lineRule="auto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DEPARTAMENTO:</w:t>
            </w: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DEPARTAMENTO DE EDUCAÇÃO</w:t>
            </w:r>
          </w:p>
        </w:tc>
        <w:tc>
          <w:tcPr>
            <w:gridSpan w:val="4"/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ageBreakBefore w:val="0"/>
              <w:spacing w:line="240" w:lineRule="auto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ÁREA:</w:t>
            </w: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 EDUCAÇÃO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gridSpan w:val="4"/>
            <w:tcBorders>
              <w:top w:color="ffffff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ageBreakBefore w:val="0"/>
              <w:spacing w:line="240" w:lineRule="auto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CARGA HORÁRIA TOTAL:</w:t>
            </w: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 90H</w:t>
            </w:r>
          </w:p>
        </w:tc>
        <w:tc>
          <w:tcPr>
            <w:gridSpan w:val="3"/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ageBreakBefore w:val="0"/>
              <w:spacing w:line="240" w:lineRule="auto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CRÉDITOS:</w:t>
            </w: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 6</w:t>
            </w:r>
          </w:p>
        </w:tc>
      </w:tr>
      <w:tr>
        <w:trPr>
          <w:cantSplit w:val="0"/>
          <w:trHeight w:val="223.13232421875" w:hRule="atLeast"/>
          <w:tblHeader w:val="0"/>
        </w:trPr>
        <w:tc>
          <w:tcPr>
            <w:tcBorders>
              <w:top w:color="ffffff" w:space="0" w:sz="8" w:val="single"/>
              <w:left w:color="000000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ageBreakBefore w:val="0"/>
              <w:spacing w:line="240" w:lineRule="auto"/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CARGA HORÁRIA SEMANAL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ageBreakBefore w:val="0"/>
              <w:spacing w:line="240" w:lineRule="auto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TEÓRICA:</w:t>
            </w: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 2</w:t>
            </w:r>
          </w:p>
        </w:tc>
        <w:tc>
          <w:tcPr>
            <w:gridSpan w:val="2"/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ageBreakBefore w:val="0"/>
              <w:spacing w:line="240" w:lineRule="auto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PRÁTICA:</w:t>
            </w: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 4</w:t>
            </w:r>
          </w:p>
        </w:tc>
        <w:tc>
          <w:tcPr>
            <w:gridSpan w:val="2"/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ageBreakBefore w:val="0"/>
              <w:spacing w:line="240" w:lineRule="auto"/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EAD*:   -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ageBreakBefore w:val="0"/>
              <w:spacing w:line="240" w:lineRule="auto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TOTAL:</w:t>
            </w: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 6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gridSpan w:val="7"/>
            <w:tcBorders>
              <w:top w:color="ffffff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ageBreakBefore w:val="0"/>
              <w:spacing w:line="240" w:lineRule="auto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PRÉ-REQUISITOS:</w:t>
            </w: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  05139 - FUNDAMENTOS FIL. HIST. E SOC. DA EDUCAÇÃO, 05498 - EDUCAÇÃO BRASILEIRA: LEGISLAÇÃO, ORGANIZAÇÃO E POLÍTICAS, 05500 - METODOLOGIA DO ENSINO DA COMPUTAÇÃO, 05501 - ESTÁGIO SUPERVISIONADO OBRIGATÓRIO I e 05502 - ESTÁGIO SUPERVISIONADO OBRIGATÓRIO II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gridSpan w:val="7"/>
            <w:tcBorders>
              <w:top w:color="fffff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ageBreakBefore w:val="0"/>
              <w:spacing w:line="240" w:lineRule="auto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CO-REQUISITOS: </w:t>
            </w: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NENHUM</w:t>
            </w:r>
          </w:p>
        </w:tc>
      </w:tr>
    </w:tbl>
    <w:p w:rsidR="00000000" w:rsidDel="00000000" w:rsidP="00000000" w:rsidRDefault="00000000" w:rsidRPr="00000000" w14:paraId="00000035">
      <w:pPr>
        <w:pageBreakBefore w:val="0"/>
        <w:rPr>
          <w:rFonts w:ascii="Georgia" w:cs="Georgia" w:eastAsia="Georgia" w:hAnsi="Georgia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ageBreakBefore w:val="0"/>
        <w:rPr>
          <w:rFonts w:ascii="Georgia" w:cs="Georgia" w:eastAsia="Georgia" w:hAnsi="Georgia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ageBreakBefore w:val="0"/>
              <w:widowControl w:val="0"/>
              <w:spacing w:line="240" w:lineRule="auto"/>
              <w:jc w:val="center"/>
              <w:rPr>
                <w:rFonts w:ascii="Roboto" w:cs="Roboto" w:eastAsia="Roboto" w:hAnsi="Robot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0"/>
                <w:szCs w:val="20"/>
                <w:rtl w:val="0"/>
              </w:rPr>
              <w:t xml:space="preserve">EMENTA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ageBreakBefore w:val="0"/>
              <w:widowControl w:val="0"/>
              <w:spacing w:line="240" w:lineRule="auto"/>
              <w:jc w:val="both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Será abordado o aprofundamento da experiência de planejamento didático e docência adquirida no Estágio II, podendo ser realizado em: (i) escolas de ensino fundamental, médio ou integrado médio-técnico, fortalecendo a experiência adquirida no Estágio II; (ii) qualquer outro instituto, empresa ou órgão público em que possa ser desenvolvida ação docente, através de cursos, capacitações e formação continuada na área de Computação, expandindo assim o leque de competências, alunado e 63 contextos na área docente; ou (iii) empresas da área de projeto, desenvolvimento e/ou avaliação de tecnologias educacionais, tais como: software educacional, jogos digitais educacionais, robótica educacional, material didático digital e design instrucional.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pageBreakBefore w:val="0"/>
        <w:rPr>
          <w:rFonts w:ascii="Georgia" w:cs="Georgia" w:eastAsia="Georgia" w:hAnsi="Georgia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ageBreakBefore w:val="0"/>
        <w:rPr>
          <w:rFonts w:ascii="Georgia" w:cs="Georgia" w:eastAsia="Georgia" w:hAnsi="Georgia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ageBreakBefore w:val="0"/>
              <w:widowControl w:val="0"/>
              <w:spacing w:line="240" w:lineRule="auto"/>
              <w:jc w:val="center"/>
              <w:rPr>
                <w:rFonts w:ascii="Roboto" w:cs="Roboto" w:eastAsia="Roboto" w:hAnsi="Robot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0"/>
                <w:szCs w:val="20"/>
                <w:rtl w:val="0"/>
              </w:rPr>
              <w:t xml:space="preserve">PRÁTICA COMO COMPONENTE CURRICULAR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ageBreakBefore w:val="0"/>
              <w:widowControl w:val="0"/>
              <w:spacing w:line="240" w:lineRule="auto"/>
              <w:jc w:val="both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Não possui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D">
      <w:pPr>
        <w:pageBreakBefore w:val="0"/>
        <w:rPr>
          <w:rFonts w:ascii="Georgia" w:cs="Georgia" w:eastAsia="Georgia" w:hAnsi="Georgia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ageBreakBefore w:val="0"/>
        <w:rPr>
          <w:rFonts w:ascii="Georgia" w:cs="Georgia" w:eastAsia="Georgia" w:hAnsi="Georgia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ageBreakBefore w:val="0"/>
              <w:widowControl w:val="0"/>
              <w:spacing w:line="240" w:lineRule="auto"/>
              <w:jc w:val="center"/>
              <w:rPr>
                <w:rFonts w:ascii="Roboto" w:cs="Roboto" w:eastAsia="Roboto" w:hAnsi="Robot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0"/>
                <w:szCs w:val="20"/>
                <w:rtl w:val="0"/>
              </w:rPr>
              <w:t xml:space="preserve">BIBLIOGRAFIA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ageBreakBefore w:val="0"/>
              <w:widowControl w:val="0"/>
              <w:spacing w:line="240" w:lineRule="auto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BIBLIOGRAFIA BÁSICA:</w:t>
            </w:r>
          </w:p>
          <w:p w:rsidR="00000000" w:rsidDel="00000000" w:rsidP="00000000" w:rsidRDefault="00000000" w:rsidRPr="00000000" w14:paraId="00000041">
            <w:pPr>
              <w:pageBreakBefore w:val="0"/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ALVES, L., COUTINHO, I. J. (orgs.) Jogos digitais e aprendizagem: Fundamentos para uma prática baseada em evidências. Campinas, SP: Papirus, 2016.</w:t>
            </w:r>
          </w:p>
          <w:p w:rsidR="00000000" w:rsidDel="00000000" w:rsidP="00000000" w:rsidRDefault="00000000" w:rsidRPr="00000000" w14:paraId="00000042">
            <w:pPr>
              <w:pageBreakBefore w:val="0"/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Georgia" w:cs="Georgia" w:eastAsia="Georgia" w:hAnsi="Georgia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ARANTES, V. A. Educação formal e não-formal. São Paulo: Summus, 2008. </w:t>
            </w:r>
          </w:p>
          <w:p w:rsidR="00000000" w:rsidDel="00000000" w:rsidP="00000000" w:rsidRDefault="00000000" w:rsidRPr="00000000" w14:paraId="00000043">
            <w:pPr>
              <w:pageBreakBefore w:val="0"/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Georgia" w:cs="Georgia" w:eastAsia="Georgia" w:hAnsi="Georgia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BRASIL. Ministério da Educação (MEC), Secretaria de Educação Fundamental. Parâmetros Curriculares Nacionais: terceiro e quarto ciclos do ensino fundamental, 1998. </w:t>
            </w:r>
          </w:p>
          <w:p w:rsidR="00000000" w:rsidDel="00000000" w:rsidP="00000000" w:rsidRDefault="00000000" w:rsidRPr="00000000" w14:paraId="00000044">
            <w:pPr>
              <w:pageBreakBefore w:val="0"/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Georgia" w:cs="Georgia" w:eastAsia="Georgia" w:hAnsi="Georgia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________. Ministério da Educação (MEC), Secretaria de Educação Média e Tecnológica (Semtec). Parâmetros Curriculares Nacionais para o Ensino Médio, Brasília: MEC/Semtec, 1999.</w:t>
            </w:r>
          </w:p>
          <w:p w:rsidR="00000000" w:rsidDel="00000000" w:rsidP="00000000" w:rsidRDefault="00000000" w:rsidRPr="00000000" w14:paraId="00000045">
            <w:pPr>
              <w:pageBreakBefore w:val="0"/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Georgia" w:cs="Georgia" w:eastAsia="Georgia" w:hAnsi="Georgia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________. Ministério da Educação (MEC), Secretaria de Educação Média e Tecnológica (Semtec). PCN+ Ensino Médio: orientações educacionais complementares aos Parâmetros Curriculares Nacionais – Ciências da Natureza, Matemática e suas Tecnologias, Brasília: MEC/Semtec, 2002. pp. 55-57.</w:t>
            </w:r>
          </w:p>
          <w:p w:rsidR="00000000" w:rsidDel="00000000" w:rsidP="00000000" w:rsidRDefault="00000000" w:rsidRPr="00000000" w14:paraId="00000046">
            <w:pPr>
              <w:pageBreakBefore w:val="0"/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Georgia" w:cs="Georgia" w:eastAsia="Georgia" w:hAnsi="Georgia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________. Ministério da Educação (MEC), Secretaria de Educação Básica (SEB). Orientações Curriculares para o Ensino Médio – Ciências da Natureza, Matemática e suas Tecnologias, Brasília: MEC/Semtec, 2006.</w:t>
            </w:r>
          </w:p>
          <w:p w:rsidR="00000000" w:rsidDel="00000000" w:rsidP="00000000" w:rsidRDefault="00000000" w:rsidRPr="00000000" w14:paraId="00000047">
            <w:pPr>
              <w:pageBreakBefore w:val="0"/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Georgia" w:cs="Georgia" w:eastAsia="Georgia" w:hAnsi="Georgia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COLL, César e MONEREO, Charles. Psicologia da Educação Virtual: Aprender e Ensinar com as Tecnologias da Informação e Comunicação. Porto Alegre: Editora Artmed, 2010.</w:t>
            </w:r>
          </w:p>
          <w:p w:rsidR="00000000" w:rsidDel="00000000" w:rsidP="00000000" w:rsidRDefault="00000000" w:rsidRPr="00000000" w14:paraId="00000048">
            <w:pPr>
              <w:pageBreakBefore w:val="0"/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Georgia" w:cs="Georgia" w:eastAsia="Georgia" w:hAnsi="Georgia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FILATRO, Andrea. Design instrucional na prática. São Paulo: Pearson Education do Brasil, 2008.</w:t>
            </w:r>
          </w:p>
          <w:p w:rsidR="00000000" w:rsidDel="00000000" w:rsidP="00000000" w:rsidRDefault="00000000" w:rsidRPr="00000000" w14:paraId="00000049">
            <w:pPr>
              <w:pageBreakBefore w:val="0"/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Georgia" w:cs="Georgia" w:eastAsia="Georgia" w:hAnsi="Georgia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LIMA, M. S. L. [et al]. A hora da prática: reflexões sobre o estágio supervisionado e A ação docente. 4. ed., Fortaleza: Edições Demócrito Rocha, 2004.</w:t>
            </w:r>
          </w:p>
          <w:p w:rsidR="00000000" w:rsidDel="00000000" w:rsidP="00000000" w:rsidRDefault="00000000" w:rsidRPr="00000000" w14:paraId="0000004A">
            <w:pPr>
              <w:pageBreakBefore w:val="0"/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Georgia" w:cs="Georgia" w:eastAsia="Georgia" w:hAnsi="Georgia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LITTO, F. M; FORMIGA, M. M. .Educação a Distância - Vol 2 - O Estado da Arte. SãoPaulo: Pearson Education do Brasil, 2012.</w:t>
            </w:r>
          </w:p>
          <w:p w:rsidR="00000000" w:rsidDel="00000000" w:rsidP="00000000" w:rsidRDefault="00000000" w:rsidRPr="00000000" w14:paraId="0000004B">
            <w:pPr>
              <w:pageBreakBefore w:val="0"/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Georgia" w:cs="Georgia" w:eastAsia="Georgia" w:hAnsi="Georgia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OlIVEIRA, C. Couto. de. Ambientes informatizados de aprendizagem: produção e avaliação de software educativo. Campinas: Papirus, 2001.</w:t>
            </w:r>
          </w:p>
          <w:p w:rsidR="00000000" w:rsidDel="00000000" w:rsidP="00000000" w:rsidRDefault="00000000" w:rsidRPr="00000000" w14:paraId="0000004C">
            <w:pPr>
              <w:pageBreakBefore w:val="0"/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Georgia" w:cs="Georgia" w:eastAsia="Georgia" w:hAnsi="Georgia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PIMENTA, S. G. O estágio na formação de professores: unidade teoria e prática? 7 ed. São Paulo: Cortez,2006. </w:t>
            </w:r>
          </w:p>
          <w:p w:rsidR="00000000" w:rsidDel="00000000" w:rsidP="00000000" w:rsidRDefault="00000000" w:rsidRPr="00000000" w14:paraId="0000004D">
            <w:pPr>
              <w:pageBreakBefore w:val="0"/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Georgia" w:cs="Georgia" w:eastAsia="Georgia" w:hAnsi="Georgia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RABELO, E. H. Avaliação: novos tempos, novas práticas. Rio de Janeiro: Vozes, 2001.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ageBreakBefore w:val="0"/>
              <w:widowControl w:val="0"/>
              <w:spacing w:line="240" w:lineRule="auto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BIBLIOGRAFIA COMPLEMENTAR:</w:t>
            </w:r>
          </w:p>
          <w:p w:rsidR="00000000" w:rsidDel="00000000" w:rsidP="00000000" w:rsidRDefault="00000000" w:rsidRPr="00000000" w14:paraId="0000004F">
            <w:pPr>
              <w:pageBreakBefore w:val="0"/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Anais do Simpósio Brasileiro de Informática na Educação - SBIE. Disponíveis em: &lt;</w:t>
            </w:r>
            <w:hyperlink r:id="rId6">
              <w:r w:rsidDel="00000000" w:rsidR="00000000" w:rsidRPr="00000000">
                <w:rPr>
                  <w:rFonts w:ascii="Georgia" w:cs="Georgia" w:eastAsia="Georgia" w:hAnsi="Georgia"/>
                  <w:color w:val="1155cc"/>
                  <w:sz w:val="20"/>
                  <w:szCs w:val="20"/>
                  <w:u w:val="single"/>
                  <w:rtl w:val="0"/>
                </w:rPr>
                <w:t xml:space="preserve">http://www.br-ie.org/pub/index.php/sbie</w:t>
              </w:r>
            </w:hyperlink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&gt;. Acesso em 30/04/2017.</w:t>
            </w:r>
          </w:p>
          <w:p w:rsidR="00000000" w:rsidDel="00000000" w:rsidP="00000000" w:rsidRDefault="00000000" w:rsidRPr="00000000" w14:paraId="00000050">
            <w:pPr>
              <w:pageBreakBefore w:val="0"/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Georgia" w:cs="Georgia" w:eastAsia="Georgia" w:hAnsi="Georgia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Anais do Workshop de Educação em Computação do Congresso Brasileiro da Sociedade Brasileira de Computação - WEI-CSBC. Disponíveis em: . Acesso em 30/04/2017.</w:t>
            </w:r>
          </w:p>
          <w:p w:rsidR="00000000" w:rsidDel="00000000" w:rsidP="00000000" w:rsidRDefault="00000000" w:rsidRPr="00000000" w14:paraId="00000051">
            <w:pPr>
              <w:pageBreakBefore w:val="0"/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Georgia" w:cs="Georgia" w:eastAsia="Georgia" w:hAnsi="Georgia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Anais do Workshop de Informática na Escola - WIE. Disponíveis em: &lt;</w:t>
            </w:r>
            <w:hyperlink r:id="rId7">
              <w:r w:rsidDel="00000000" w:rsidR="00000000" w:rsidRPr="00000000">
                <w:rPr>
                  <w:rFonts w:ascii="Georgia" w:cs="Georgia" w:eastAsia="Georgia" w:hAnsi="Georgia"/>
                  <w:color w:val="1155cc"/>
                  <w:sz w:val="20"/>
                  <w:szCs w:val="20"/>
                  <w:u w:val="single"/>
                  <w:rtl w:val="0"/>
                </w:rPr>
                <w:t xml:space="preserve">http://www.brie.org/pub/index.php/wie</w:t>
              </w:r>
            </w:hyperlink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&gt;. Acesso em 30/04/2017.</w:t>
            </w:r>
          </w:p>
          <w:p w:rsidR="00000000" w:rsidDel="00000000" w:rsidP="00000000" w:rsidRDefault="00000000" w:rsidRPr="00000000" w14:paraId="00000052">
            <w:pPr>
              <w:pageBreakBefore w:val="0"/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Georgia" w:cs="Georgia" w:eastAsia="Georgia" w:hAnsi="Georgia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BARANAUSKAS, M. C. M., MARTINS, M. C., VALENTE, J. A. (orgs). Codesign de redes digitais: tecnologia e educação a serviço da inclusão social. Porto Alegre: Penso, 2013. </w:t>
            </w:r>
          </w:p>
          <w:p w:rsidR="00000000" w:rsidDel="00000000" w:rsidP="00000000" w:rsidRDefault="00000000" w:rsidRPr="00000000" w14:paraId="00000053">
            <w:pPr>
              <w:pageBreakBefore w:val="0"/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Georgia" w:cs="Georgia" w:eastAsia="Georgia" w:hAnsi="Georgia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BARREIRO, I. M. de F. Prática de Ensino e Estágio Supervisionado na Formação de Professores. São Paulo: AVERCAMP, 2006. CAMBA, S. V. ONGs e escolas públicas. São Paulo: Instituto Paulo Freire, 2009.</w:t>
            </w:r>
          </w:p>
          <w:p w:rsidR="00000000" w:rsidDel="00000000" w:rsidP="00000000" w:rsidRDefault="00000000" w:rsidRPr="00000000" w14:paraId="00000054">
            <w:pPr>
              <w:pageBreakBefore w:val="0"/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Georgia" w:cs="Georgia" w:eastAsia="Georgia" w:hAnsi="Georgia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MORIN, E.; CIURANA, E.; MOTTA, R.D. Educar na era planetária: o pensamento complexo como método de aprendizagem pelo erro e incerteza humana. São Paulo: Cortez, 2003.</w:t>
            </w:r>
          </w:p>
          <w:p w:rsidR="00000000" w:rsidDel="00000000" w:rsidP="00000000" w:rsidRDefault="00000000" w:rsidRPr="00000000" w14:paraId="00000055">
            <w:pPr>
              <w:pageBreakBefore w:val="0"/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Georgia" w:cs="Georgia" w:eastAsia="Georgia" w:hAnsi="Georgia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PICONEZ, S. C. B. (Coord.). A prática de ensino e o estágio Supervisionado. 5. ed. Campinas Papirus, 2000. (Coleção magistério: formação e trabalho pedagógico).</w:t>
            </w:r>
          </w:p>
          <w:p w:rsidR="00000000" w:rsidDel="00000000" w:rsidP="00000000" w:rsidRDefault="00000000" w:rsidRPr="00000000" w14:paraId="00000056">
            <w:pPr>
              <w:pageBreakBefore w:val="0"/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Georgia" w:cs="Georgia" w:eastAsia="Georgia" w:hAnsi="Georgia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PIMENTA, Selma Garrido; LIMA, Maria Socorro Lucena. Estágio e Docência. São Paulo: Cortez, 2004. (Coleção docência em formação. Série saberes pedagógicos).</w:t>
            </w:r>
          </w:p>
          <w:p w:rsidR="00000000" w:rsidDel="00000000" w:rsidP="00000000" w:rsidRDefault="00000000" w:rsidRPr="00000000" w14:paraId="00000057">
            <w:pPr>
              <w:pageBreakBefore w:val="0"/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Georgia" w:cs="Georgia" w:eastAsia="Georgia" w:hAnsi="Georgia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TORI, Romero. Educação sem distância: as tecnologias interativas na redução de distâncias 64 em ensino e aprendizagem. São Paulo: Editora Senac São paulo, 2010</w:t>
            </w:r>
          </w:p>
        </w:tc>
      </w:tr>
    </w:tbl>
    <w:p w:rsidR="00000000" w:rsidDel="00000000" w:rsidP="00000000" w:rsidRDefault="00000000" w:rsidRPr="00000000" w14:paraId="00000058">
      <w:pPr>
        <w:pageBreakBefore w:val="0"/>
        <w:jc w:val="both"/>
        <w:rPr>
          <w:rFonts w:ascii="Georgia" w:cs="Georgia" w:eastAsia="Georgia" w:hAnsi="Georgia"/>
          <w:sz w:val="10"/>
          <w:szCs w:val="10"/>
        </w:rPr>
      </w:pPr>
      <w:r w:rsidDel="00000000" w:rsidR="00000000" w:rsidRPr="00000000">
        <w:rPr>
          <w:rFonts w:ascii="Georgia" w:cs="Georgia" w:eastAsia="Georgia" w:hAnsi="Georgia"/>
          <w:i w:val="1"/>
          <w:iCs w:val="1"/>
          <w:sz w:val="20"/>
          <w:szCs w:val="20"/>
          <w:rtl w:val="0"/>
        </w:rPr>
        <w:t xml:space="preserve">*Essa disciplina poderá ter até 4 encontros a distância, se aprovado em plano de ensino pelo colegiado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ageBreakBefore w:val="0"/>
        <w:rPr/>
      </w:pPr>
      <w:r w:rsidDel="00000000" w:rsidR="00000000" w:rsidRPr="00000000">
        <w:rPr>
          <w:rtl w:val="0"/>
        </w:rPr>
      </w:r>
    </w:p>
    <w:sectPr>
      <w:headerReference r:id="rId8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A">
    <w:pPr>
      <w:pageBreakBefore w:val="0"/>
      <w:rPr>
        <w:rFonts w:ascii="Times New Roman" w:cs="Times New Roman" w:eastAsia="Times New Roman" w:hAnsi="Times New Roman"/>
        <w:b w:val="1"/>
        <w:bCs w:val="1"/>
        <w:sz w:val="26"/>
        <w:szCs w:val="26"/>
      </w:rPr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sz w:val="26"/>
        <w:szCs w:val="26"/>
        <w:rtl w:val="0"/>
      </w:rPr>
      <w:t xml:space="preserve">UNIVERSIDADE FEDERAL RURAL DE PERNAMBUCO</w:t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1</wp:posOffset>
          </wp:positionH>
          <wp:positionV relativeFrom="paragraph">
            <wp:posOffset>-66674</wp:posOffset>
          </wp:positionV>
          <wp:extent cx="561975" cy="1057275"/>
          <wp:effectExtent b="0" l="0" r="0" t="0"/>
          <wp:wrapSquare wrapText="bothSides" distB="114300" distT="114300" distL="114300" distR="11430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-9278" l="0" r="0" t="-5155"/>
                  <a:stretch>
                    <a:fillRect/>
                  </a:stretch>
                </pic:blipFill>
                <pic:spPr>
                  <a:xfrm>
                    <a:off x="0" y="0"/>
                    <a:ext cx="561975" cy="105727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5B">
    <w:pPr>
      <w:pageBreakBefore w:val="0"/>
      <w:rPr>
        <w:rFonts w:ascii="Times New Roman" w:cs="Times New Roman" w:eastAsia="Times New Roman" w:hAnsi="Times New Roman"/>
        <w:sz w:val="20"/>
        <w:szCs w:val="20"/>
      </w:rPr>
    </w:pPr>
    <w:r w:rsidDel="00000000" w:rsidR="00000000" w:rsidRPr="00000000">
      <w:rPr>
        <w:rFonts w:ascii="Times New Roman" w:cs="Times New Roman" w:eastAsia="Times New Roman" w:hAnsi="Times New Roman"/>
        <w:sz w:val="20"/>
        <w:szCs w:val="20"/>
        <w:rtl w:val="0"/>
      </w:rPr>
      <w:t xml:space="preserve">Rua Dom Manoel de Medeiros, s/n. - Dois Irmãos CEP: 52171-900</w:t>
    </w:r>
  </w:p>
  <w:p w:rsidR="00000000" w:rsidDel="00000000" w:rsidP="00000000" w:rsidRDefault="00000000" w:rsidRPr="00000000" w14:paraId="0000005C">
    <w:pPr>
      <w:pageBreakBefore w:val="0"/>
      <w:rPr>
        <w:rFonts w:ascii="Times New Roman" w:cs="Times New Roman" w:eastAsia="Times New Roman" w:hAnsi="Times New Roman"/>
        <w:sz w:val="20"/>
        <w:szCs w:val="20"/>
      </w:rPr>
    </w:pPr>
    <w:r w:rsidDel="00000000" w:rsidR="00000000" w:rsidRPr="00000000">
      <w:rPr>
        <w:rFonts w:ascii="Times New Roman" w:cs="Times New Roman" w:eastAsia="Times New Roman" w:hAnsi="Times New Roman"/>
        <w:sz w:val="20"/>
        <w:szCs w:val="20"/>
        <w:rtl w:val="0"/>
      </w:rPr>
      <w:t xml:space="preserve">Recife - PE</w:t>
    </w:r>
  </w:p>
  <w:p w:rsidR="00000000" w:rsidDel="00000000" w:rsidP="00000000" w:rsidRDefault="00000000" w:rsidRPr="00000000" w14:paraId="0000005D">
    <w:pPr>
      <w:pageBreakBefore w:val="0"/>
      <w:rPr>
        <w:rFonts w:ascii="Times New Roman" w:cs="Times New Roman" w:eastAsia="Times New Roman" w:hAnsi="Times New Roman"/>
        <w:sz w:val="20"/>
        <w:szCs w:val="20"/>
      </w:rPr>
    </w:pPr>
    <w:r w:rsidDel="00000000" w:rsidR="00000000" w:rsidRPr="00000000">
      <w:rPr>
        <w:rFonts w:ascii="Times New Roman" w:cs="Times New Roman" w:eastAsia="Times New Roman" w:hAnsi="Times New Roman"/>
        <w:sz w:val="20"/>
        <w:szCs w:val="20"/>
        <w:rtl w:val="0"/>
      </w:rPr>
      <w:t xml:space="preserve">Fone: 0xx-81-3320-6000</w:t>
    </w:r>
  </w:p>
  <w:p w:rsidR="00000000" w:rsidDel="00000000" w:rsidP="00000000" w:rsidRDefault="00000000" w:rsidRPr="00000000" w14:paraId="0000005E">
    <w:pPr>
      <w:pageBreakBefore w:val="0"/>
      <w:rPr>
        <w:rFonts w:ascii="Times New Roman" w:cs="Times New Roman" w:eastAsia="Times New Roman" w:hAnsi="Times New Roman"/>
        <w:sz w:val="20"/>
        <w:szCs w:val="20"/>
      </w:rPr>
    </w:pPr>
    <w:r w:rsidDel="00000000" w:rsidR="00000000" w:rsidRPr="00000000">
      <w:rPr>
        <w:rFonts w:ascii="Times New Roman" w:cs="Times New Roman" w:eastAsia="Times New Roman" w:hAnsi="Times New Roman"/>
        <w:sz w:val="20"/>
        <w:szCs w:val="20"/>
        <w:rtl w:val="0"/>
      </w:rPr>
      <w:t xml:space="preserve">www.ufrpe.br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F">
    <w:pPr>
      <w:pageBreakBefore w:val="0"/>
      <w:rPr>
        <w:rFonts w:ascii="Times New Roman" w:cs="Times New Roman" w:eastAsia="Times New Roman" w:hAnsi="Times New Roman"/>
        <w:sz w:val="20"/>
        <w:szCs w:val="2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www.br-ie.org/pub/index.php/sbie" TargetMode="External"/><Relationship Id="rId7" Type="http://schemas.openxmlformats.org/officeDocument/2006/relationships/hyperlink" Target="http://www.brie.org/pub/index.php/wie" TargetMode="External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