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PROGRAMA DA DISCIPLINA</w:t>
            </w:r>
          </w:p>
        </w:tc>
      </w:tr>
    </w:tbl>
    <w:p w:rsidR="00000000" w:rsidDel="00000000" w:rsidP="00000000" w:rsidRDefault="00000000" w:rsidRPr="00000000" w14:paraId="00000003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530"/>
        <w:gridCol w:w="540"/>
        <w:gridCol w:w="900"/>
        <w:gridCol w:w="255"/>
        <w:gridCol w:w="870"/>
        <w:gridCol w:w="1575"/>
        <w:tblGridChange w:id="0">
          <w:tblGrid>
            <w:gridCol w:w="3360"/>
            <w:gridCol w:w="1530"/>
            <w:gridCol w:w="540"/>
            <w:gridCol w:w="900"/>
            <w:gridCol w:w="255"/>
            <w:gridCol w:w="870"/>
            <w:gridCol w:w="157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5"/>
            <w:tcBorders>
              <w:top w:color="000000" w:space="0" w:sz="6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NOME: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PRODUÇÃO DE TEXTOS ACADÊMICOS I</w:t>
            </w:r>
          </w:p>
        </w:tc>
        <w:tc>
          <w:tcPr>
            <w:gridSpan w:val="2"/>
            <w:tcBorders>
              <w:top w:color="000000" w:space="0" w:sz="6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CÓDIGO: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04304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3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DEPARTAMENTO: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DEPARTAMENTO DE LETRAS</w:t>
            </w:r>
          </w:p>
        </w:tc>
        <w:tc>
          <w:tcPr>
            <w:gridSpan w:val="4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ÁREA: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LETRAS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4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60H</w:t>
            </w:r>
          </w:p>
        </w:tc>
        <w:tc>
          <w:tcPr>
            <w:gridSpan w:val="3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CRÉDITOS: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223.13232421875" w:hRule="atLeast"/>
          <w:tblHeader w:val="0"/>
        </w:trPr>
        <w:tc>
          <w:tcPr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CARGA HORÁRIA SEMANAL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TEÓRICA: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PRÁTICA: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2</w:t>
            </w:r>
          </w:p>
        </w:tc>
        <w:tc>
          <w:tcPr>
            <w:gridSpan w:val="2"/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spacing w:line="240" w:lineRule="auto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EAD*:   -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TOTAL: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4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ffffff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PRÉ-REQUISITOS: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 NENHUM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gridSpan w:val="7"/>
            <w:tcBorders>
              <w:top w:color="ffffff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CO-REQUISITOS: </w:t>
            </w: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EMENTA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Apresentação da função e das principais características do gênero Resumo. Atividades de leitura e de síntese para a produção desse gênero. Produção de resumo. Apresentação da função e das principais características do gênero Resenha. Análise dos elementos linguísticos que são utilizados em comentários e na produção de resenha.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PRÁTICA COMO COMPONENTE CURRICULAR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widowControl w:val="0"/>
              <w:spacing w:line="240" w:lineRule="auto"/>
              <w:jc w:val="both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Não possui.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BIBLIOGRAFIA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41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ANTUNES, I. Aula de português: encontro &amp; interação. São Paulo: Parábola, 2003.</w:t>
            </w:r>
          </w:p>
          <w:p w:rsidR="00000000" w:rsidDel="00000000" w:rsidP="00000000" w:rsidRDefault="00000000" w:rsidRPr="00000000" w14:paraId="00000042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BARBOSA, S. A. M. Redação: escrever bem é desvendar o mundo. 16. Ed. Campinas: Papirus, 2003.</w:t>
            </w:r>
          </w:p>
          <w:p w:rsidR="00000000" w:rsidDel="00000000" w:rsidP="00000000" w:rsidRDefault="00000000" w:rsidRPr="00000000" w14:paraId="00000043">
            <w:pPr>
              <w:pageBreakBefore w:val="0"/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BECHARA, E. Moderna gramática portuguesa. 37. Ed. Rio de Janeiro: Lucerna, 1999.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BIBLIOGRAFIA COMPLEMENTAR:</w:t>
            </w:r>
          </w:p>
          <w:p w:rsidR="00000000" w:rsidDel="00000000" w:rsidP="00000000" w:rsidRDefault="00000000" w:rsidRPr="00000000" w14:paraId="00000045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GARCEZ, L. H. do C. Técnica de redação: o que é preciso saber para bem escrever. São Paulo: Martins Fontes, 2001.</w:t>
            </w:r>
          </w:p>
          <w:p w:rsidR="00000000" w:rsidDel="00000000" w:rsidP="00000000" w:rsidRDefault="00000000" w:rsidRPr="00000000" w14:paraId="00000046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ILARI, R. Introdução à Semântica: brincando com a gramática. São Paulo: Contexto, 2004.</w:t>
            </w:r>
          </w:p>
          <w:p w:rsidR="00000000" w:rsidDel="00000000" w:rsidP="00000000" w:rsidRDefault="00000000" w:rsidRPr="00000000" w14:paraId="00000047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KOCH, I. G. V. A coesão textual. 18. Ed. São Paulo: Contexto, 2003.</w:t>
            </w:r>
          </w:p>
          <w:p w:rsidR="00000000" w:rsidDel="00000000" w:rsidP="00000000" w:rsidRDefault="00000000" w:rsidRPr="00000000" w14:paraId="00000048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______; TRAVAGLIA, L. C. A coerência textual. 14. Ed. São Paulo: Contexto, 2002.</w:t>
            </w:r>
          </w:p>
          <w:p w:rsidR="00000000" w:rsidDel="00000000" w:rsidP="00000000" w:rsidRDefault="00000000" w:rsidRPr="00000000" w14:paraId="00000049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______. Texto e coerência. 4. Ed. São Paulo: Cortez, 1995.</w:t>
            </w:r>
          </w:p>
          <w:p w:rsidR="00000000" w:rsidDel="00000000" w:rsidP="00000000" w:rsidRDefault="00000000" w:rsidRPr="00000000" w14:paraId="0000004A">
            <w:pPr>
              <w:pageBreakBefore w:val="0"/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MACHADO, A. R. (Coord.); LOUSADA, E.; ABREU-TARDELLI, L. S. Planejar gêneros acadêmicos. São Paulo: Parábola, 2005.</w:t>
            </w:r>
          </w:p>
        </w:tc>
      </w:tr>
    </w:tbl>
    <w:p w:rsidR="00000000" w:rsidDel="00000000" w:rsidP="00000000" w:rsidRDefault="00000000" w:rsidRPr="00000000" w14:paraId="0000004B">
      <w:pPr>
        <w:pageBreakBefore w:val="0"/>
        <w:jc w:val="both"/>
        <w:rPr>
          <w:rFonts w:ascii="Georgia" w:cs="Georgia" w:eastAsia="Georgia" w:hAnsi="Georgia"/>
          <w:sz w:val="10"/>
          <w:szCs w:val="10"/>
        </w:rPr>
      </w:pPr>
      <w:r w:rsidDel="00000000" w:rsidR="00000000" w:rsidRPr="00000000">
        <w:rPr>
          <w:rFonts w:ascii="Georgia" w:cs="Georgia" w:eastAsia="Georgia" w:hAnsi="Georgia"/>
          <w:i w:val="1"/>
          <w:iCs w:val="1"/>
          <w:sz w:val="20"/>
          <w:szCs w:val="20"/>
          <w:rtl w:val="0"/>
        </w:rPr>
        <w:t xml:space="preserve">*Essa disciplina poderá ter até 4 encontros a distância, se aprovado em plano de ensino pelo colegiado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pageBreakBefore w:val="0"/>
      <w:rPr>
        <w:rFonts w:ascii="Times New Roman" w:cs="Times New Roman" w:eastAsia="Times New Roman" w:hAnsi="Times New Roman"/>
        <w:b w:val="1"/>
        <w:bCs w:val="1"/>
        <w:sz w:val="26"/>
        <w:szCs w:val="2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6"/>
        <w:szCs w:val="26"/>
        <w:rtl w:val="0"/>
      </w:rPr>
      <w:t xml:space="preserve">UNIVERSIDADE FEDERAL RURAL DE PERNAMBUCO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-66674</wp:posOffset>
          </wp:positionV>
          <wp:extent cx="561975" cy="1057275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-9278" l="0" r="0" t="-5155"/>
                  <a:stretch>
                    <a:fillRect/>
                  </a:stretch>
                </pic:blipFill>
                <pic:spPr>
                  <a:xfrm>
                    <a:off x="0" y="0"/>
                    <a:ext cx="561975" cy="10572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E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Rua Dom Manoel de Medeiros, s/n. - Dois Irmãos CEP: 52171-900</w:t>
    </w:r>
  </w:p>
  <w:p w:rsidR="00000000" w:rsidDel="00000000" w:rsidP="00000000" w:rsidRDefault="00000000" w:rsidRPr="00000000" w14:paraId="0000004F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Recife - PE</w:t>
    </w:r>
  </w:p>
  <w:p w:rsidR="00000000" w:rsidDel="00000000" w:rsidP="00000000" w:rsidRDefault="00000000" w:rsidRPr="00000000" w14:paraId="00000050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Fone: 0xx-81-3320-6000</w:t>
    </w:r>
  </w:p>
  <w:p w:rsidR="00000000" w:rsidDel="00000000" w:rsidP="00000000" w:rsidRDefault="00000000" w:rsidRPr="00000000" w14:paraId="00000051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sz w:val="20"/>
        <w:szCs w:val="20"/>
        <w:rtl w:val="0"/>
      </w:rPr>
      <w:t xml:space="preserve">www.ufrpe.br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pageBreakBefore w:val="0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