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ENGENHARIA DE SOFTWARE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06226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6º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45h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15h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Processos de software. Ciclo de vida de desenvolvimento de software. Modelagem de software. Introdução a Modelos de Qualidade e de Gerenciamento de projetos de software. Ambientes de desenvolvimento de software. Padrões de projeto. Técnicas de teste de software. Reuso de componentes de software.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processos e o ciclo de vida de desenvolvimento de software, as técnicas de modelagem de software, os modelos de qualidade e de gerenciamento de projetos de software, os ambientes de desenvolvimento, os padrões de projeto, as técnicas de teste de software e as práticas de reuso de componentes de software.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Processos de software.</w:t>
            </w:r>
          </w:p>
          <w:p>
            <w:r>
              <w:rPr>
                <w:rFonts w:ascii="Times New Roman" w:hAnsi="Times New Roman" w:cs="Times New Roman" w:eastAsia="Times New Roman"/>
              </w:rPr>
              <w:t>2. Ciclo de vida de desenvolvimento de software.</w:t>
            </w:r>
          </w:p>
          <w:p>
            <w:r>
              <w:rPr>
                <w:rFonts w:ascii="Times New Roman" w:hAnsi="Times New Roman" w:cs="Times New Roman" w:eastAsia="Times New Roman"/>
              </w:rPr>
              <w:t>3. Modelagem de software.</w:t>
            </w:r>
          </w:p>
          <w:p>
            <w:r>
              <w:rPr>
                <w:rFonts w:ascii="Times New Roman" w:hAnsi="Times New Roman" w:cs="Times New Roman" w:eastAsia="Times New Roman"/>
              </w:rPr>
              <w:t>4. Introdução a Modelos de Qualidade e de Gerenciamento de projetos de software.</w:t>
            </w:r>
          </w:p>
          <w:p>
            <w:r>
              <w:rPr>
                <w:rFonts w:ascii="Times New Roman" w:hAnsi="Times New Roman" w:cs="Times New Roman" w:eastAsia="Times New Roman"/>
              </w:rPr>
              <w:t>5. Ambientes de desenvolvimento de software.</w:t>
            </w:r>
          </w:p>
          <w:p>
            <w:r>
              <w:rPr>
                <w:rFonts w:ascii="Times New Roman" w:hAnsi="Times New Roman" w:cs="Times New Roman" w:eastAsia="Times New Roman"/>
              </w:rPr>
              <w:t>6. Padrões de projeto.</w:t>
            </w:r>
          </w:p>
          <w:p>
            <w:r>
              <w:rPr>
                <w:rFonts w:ascii="Times New Roman" w:hAnsi="Times New Roman" w:cs="Times New Roman" w:eastAsia="Times New Roman"/>
              </w:rPr>
              <w:t>7. Técnicas de teste de software.</w:t>
            </w:r>
          </w:p>
          <w:p>
            <w:r>
              <w:rPr>
                <w:rFonts w:ascii="Times New Roman" w:hAnsi="Times New Roman" w:cs="Times New Roman" w:eastAsia="Times New Roman"/>
              </w:rPr>
              <w:t>8. Reuso de componentes de software.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PRESSMAN, R., MAXIN, B.R. Engenharia de Software: Uma Abordagem Profissional. 8. ed. Porto Alegre: McGrawHill, 2016.</w:t>
            </w:r>
          </w:p>
          <w:p>
            <w:r>
              <w:rPr>
                <w:rFonts w:ascii="Times New Roman" w:hAnsi="Times New Roman" w:cs="Times New Roman" w:eastAsia="Times New Roman"/>
              </w:rPr>
              <w:t>SOMMERVILLE, I. Engenharia de Software. 9. ed. São Paulo: Pearson Brasil,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IEEE Computer Society. Guide to the Software Engineering Body of Knowledge (SWEBOK), 2004. Available in http://www.computer.org/portal/web/swebok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OWLER, M. UML Essencial: um breve guia para linguagem padrão. Bookman Editora, 2014.</w:t>
            </w:r>
          </w:p>
          <w:p>
            <w:r>
              <w:rPr>
                <w:rFonts w:ascii="Times New Roman" w:hAnsi="Times New Roman" w:cs="Times New Roman" w:eastAsia="Times New Roman"/>
              </w:rPr>
              <w:t>PMBOK. A guide to the project management body of knowledge: PMBOK Guide- Fifth Edition Project Management Institute Newtown Square PA, USA. 2013</w:t>
            </w:r>
          </w:p>
          <w:p>
            <w:r>
              <w:rPr>
                <w:rFonts w:ascii="Times New Roman" w:hAnsi="Times New Roman" w:cs="Times New Roman" w:eastAsia="Times New Roman"/>
              </w:rPr>
              <w:t>BOOCH, G.; RUMBAUGH, J.; JACOBSON, I. UML - Guia do Usuário. 2ed. Rio de Janeiro: Campus,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WELLS, D. Extreme Programming: a gentle introduction, 2009. Disponível em: &lt;http://www.extremeprogramming.org&gt;.</w:t>
            </w:r>
          </w:p>
          <w:p>
            <w:r>
              <w:rPr>
                <w:rFonts w:ascii="Times New Roman" w:hAnsi="Times New Roman" w:cs="Times New Roman" w:eastAsia="Times New Roman"/>
              </w:rPr>
              <w:t>SCHWABER, K.; BEEDLE, M. Agile software development with Scrum. [S.l.]: Microsoft Press,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GAMMA, E.; HELM, R.; JOHNSON, R.; VLISSIDES, J. Padrões de Projeto: soluções reutilizáveis de software orientado a objetos. Porto Alegre: Bookman,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ROCHA, Ana Regina Cavalcante da; MALDONADO, José Carlos; WEBER, Kival Chaves. Qualidade de software. São Paulo: Prentice Hall, 2001.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