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1"/>
        <w:tblW w:w="9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7170"/>
        <w:tblGridChange w:id="0">
          <w:tblGrid>
            <w:gridCol w:w="2010"/>
            <w:gridCol w:w="717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4472c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>
              <w:rPr>
                <w:rFonts w:ascii="Times New Roman" w:hAnsi="Times New Roman" w:cs="Times New Roman" w:eastAsia="Times New Roman"/>
              </w:rPr>
              <w:t>COMPONENTE CURRICULAR: INTELIGÊNCIA ARTIFICIAL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hAnsi="Times New Roman" w:cs="Times New Roman" w:eastAsia="Times New Roman"/>
              </w:rPr>
              <w:t>CÓDIGO: 14074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PERÍODO A SER OFERTADO: 6º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FORMATO DE OFERTA:</w:t>
            </w:r>
          </w:p>
          <w:p w:rsidR="00000000" w:rsidDel="00000000" w:rsidP="00000000" w:rsidRDefault="00000000" w:rsidRPr="00000000" w14:paraId="0000000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X ) Presencial</w:t>
            </w:r>
          </w:p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    ) 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CARGA HORÁRIA TOTAL: 60h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Teórica: 60h</w:t>
            </w:r>
          </w:p>
          <w:p>
            <w:r>
              <w:rPr>
                <w:rFonts w:ascii="Times New Roman" w:hAnsi="Times New Roman" w:cs="Times New Roman" w:eastAsia="Times New Roman"/>
              </w:rPr>
              <w:t>Prática: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Extensão: 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EaD: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PRÉ-REQUISITO: PROGRAMAÇÃO II E PENSAMENTO COMPUTACIONAL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CORREQUISITO: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EQUIVALÊNCIA: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EMENTA: </w:t>
            </w:r>
          </w:p>
          <w:p>
            <w:r>
              <w:rPr>
                <w:rFonts w:ascii="Times New Roman" w:hAnsi="Times New Roman" w:cs="Times New Roman" w:eastAsia="Times New Roman"/>
              </w:rPr>
              <w:t>Definições de IA. Agentes inteligentes. Resolução de problemas por meio de busca: buscas com e sem informação; Buscas locais para problemas de otimização. Busca competitiva: algoritmo minimax. Introdução à Aprendizagem de Máquina. Aprendizagem baseada em instâncias. Aprendizagem bayesiana. Árvores de decisão. Introdução às redes neurais: perceptron; Aprendizagem não supervisionada: agrupamento.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OBJETIVOS: </w:t>
            </w:r>
          </w:p>
          <w:p>
            <w:r>
              <w:rPr>
                <w:rFonts w:ascii="Times New Roman" w:hAnsi="Times New Roman" w:cs="Times New Roman" w:eastAsia="Times New Roman"/>
              </w:rPr>
              <w:t>Capacitar o discente a compreender as definições de Inteligência Artificial e os agentes inteligentes, as técnicas de resolução de problemas por meio de busca (com e sem informação, buscas locais e busca competitiva com o algoritmo minimax), e os fundamentos introdutórios de Aprendizagem de Máquina, incluindo aprendizagem baseada em instâncias, aprendizagem bayesiana, árvores de decisão, redes neurais (perceptron) e aprendizagem não supervisionada por agrupamento.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CONTEÚDO PROGRAMÁTICO:</w:t>
            </w:r>
          </w:p>
          <w:p>
            <w:r>
              <w:rPr>
                <w:rFonts w:ascii="Times New Roman" w:hAnsi="Times New Roman" w:cs="Times New Roman" w:eastAsia="Times New Roman"/>
              </w:rPr>
              <w:t>1. Definições de IA.</w:t>
            </w:r>
          </w:p>
          <w:p>
            <w:r>
              <w:rPr>
                <w:rFonts w:ascii="Times New Roman" w:hAnsi="Times New Roman" w:cs="Times New Roman" w:eastAsia="Times New Roman"/>
              </w:rPr>
              <w:t>2. Agentes inteligentes.</w:t>
            </w:r>
          </w:p>
          <w:p>
            <w:r>
              <w:rPr>
                <w:rFonts w:ascii="Times New Roman" w:hAnsi="Times New Roman" w:cs="Times New Roman" w:eastAsia="Times New Roman"/>
              </w:rPr>
              <w:t>3. Resolução de problemas por meio de busca: buscas com e sem informação;</w:t>
            </w:r>
          </w:p>
          <w:p>
            <w:r>
              <w:rPr>
                <w:rFonts w:ascii="Times New Roman" w:hAnsi="Times New Roman" w:cs="Times New Roman" w:eastAsia="Times New Roman"/>
              </w:rPr>
              <w:t>4. Buscas locais para problemas de otimização.</w:t>
            </w:r>
          </w:p>
          <w:p>
            <w:r>
              <w:rPr>
                <w:rFonts w:ascii="Times New Roman" w:hAnsi="Times New Roman" w:cs="Times New Roman" w:eastAsia="Times New Roman"/>
              </w:rPr>
              <w:t>5. Busca competitiva: algoritmo minimax.</w:t>
            </w:r>
          </w:p>
          <w:p>
            <w:r>
              <w:rPr>
                <w:rFonts w:ascii="Times New Roman" w:hAnsi="Times New Roman" w:cs="Times New Roman" w:eastAsia="Times New Roman"/>
              </w:rPr>
              <w:t>6. Introdução à Aprendizagem de Máquina.</w:t>
            </w:r>
          </w:p>
          <w:p>
            <w:r>
              <w:rPr>
                <w:rFonts w:ascii="Times New Roman" w:hAnsi="Times New Roman" w:cs="Times New Roman" w:eastAsia="Times New Roman"/>
              </w:rPr>
              <w:t>7. Aprendizagem baseada em instâncias.</w:t>
            </w:r>
          </w:p>
          <w:p>
            <w:r>
              <w:rPr>
                <w:rFonts w:ascii="Times New Roman" w:hAnsi="Times New Roman" w:cs="Times New Roman" w:eastAsia="Times New Roman"/>
              </w:rPr>
              <w:t>8. Aprendizagem bayesiana.</w:t>
            </w:r>
          </w:p>
          <w:p>
            <w:r>
              <w:rPr>
                <w:rFonts w:ascii="Times New Roman" w:hAnsi="Times New Roman" w:cs="Times New Roman" w:eastAsia="Times New Roman"/>
              </w:rPr>
              <w:t>9. Árvores de decisão.</w:t>
            </w:r>
          </w:p>
          <w:p>
            <w:r>
              <w:rPr>
                <w:rFonts w:ascii="Times New Roman" w:hAnsi="Times New Roman" w:cs="Times New Roman" w:eastAsia="Times New Roman"/>
              </w:rPr>
              <w:t>10. Introdução às redes neurais: perceptron;</w:t>
            </w:r>
          </w:p>
          <w:p>
            <w:r>
              <w:rPr>
                <w:rFonts w:ascii="Times New Roman" w:hAnsi="Times New Roman" w:cs="Times New Roman" w:eastAsia="Times New Roman"/>
              </w:rPr>
              <w:t>11. Aprendizagem não supervisionada: agrupamento.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BÁSICA:</w:t>
            </w:r>
          </w:p>
          <w:p w:rsidR="00000000" w:rsidDel="00000000" w:rsidP="00000000" w:rsidRDefault="00000000" w:rsidRPr="00000000" w14:paraId="00000023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  <w:p>
            <w:r>
              <w:rPr>
                <w:rFonts w:ascii="Times New Roman" w:hAnsi="Times New Roman" w:cs="Times New Roman" w:eastAsia="Times New Roman"/>
              </w:rPr>
              <w:t>RUSSEL, S.; NORVIG, P. Inteligência Artificial - Tradução da Segunda Edição. Rio de Janeiro: Elsevier, 2004. 1021 p. 25</w:t>
            </w:r>
          </w:p>
          <w:p>
            <w:r>
              <w:rPr>
                <w:rFonts w:ascii="Times New Roman" w:hAnsi="Times New Roman" w:cs="Times New Roman" w:eastAsia="Times New Roman"/>
              </w:rPr>
              <w:t>THEODORIDIS, Sergios; KONSTANTINOS, Koutroumbas. Pattern recognition. 4th ed. Burlington, Mass.: Elsevier, 2009.</w:t>
            </w:r>
          </w:p>
          <w:p>
            <w:r>
              <w:rPr>
                <w:rFonts w:ascii="Times New Roman" w:hAnsi="Times New Roman" w:cs="Times New Roman" w:eastAsia="Times New Roman"/>
              </w:rPr>
              <w:t>André Carvalho, et al., Inteligência Artificial - Uma Abordagem de Aprendizado de Máquina, LTC, 2011.</w:t>
            </w:r>
          </w:p>
          <w:p>
            <w:r>
              <w:rPr>
                <w:rFonts w:ascii="Times New Roman" w:hAnsi="Times New Roman" w:cs="Times New Roman" w:eastAsia="Times New Roman"/>
              </w:rPr>
              <w:t>BIBLIOGRAFIA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COMPLEMENTAR:</w:t>
            </w:r>
          </w:p>
          <w:p>
            <w:r>
              <w:rPr>
                <w:rFonts w:ascii="Times New Roman" w:hAnsi="Times New Roman" w:cs="Times New Roman" w:eastAsia="Times New Roman"/>
              </w:rPr>
              <w:t>WITTEN, I. H; FRANK, Eibe; HALL, Mark A. Data mining: practical machine learning tools and techniques. 3rd ed. Burlington, MA: Elsevier/Morgan Kaufmann, 2011.</w:t>
            </w:r>
          </w:p>
          <w:p>
            <w:r>
              <w:rPr>
                <w:rFonts w:ascii="Times New Roman" w:hAnsi="Times New Roman" w:cs="Times New Roman" w:eastAsia="Times New Roman"/>
              </w:rPr>
              <w:t>BISHOP, C. M. (2006). Pattern Recognition and Machine Learning. Springer</w:t>
            </w:r>
          </w:p>
          <w:p>
            <w:r>
              <w:rPr>
                <w:rFonts w:ascii="Times New Roman" w:hAnsi="Times New Roman" w:cs="Times New Roman" w:eastAsia="Times New Roman"/>
              </w:rPr>
              <w:t>HAYKIN, Simon. Neural Networks and Learning Machines. Pearson 3rd edition. 2008</w:t>
            </w:r>
          </w:p>
          <w:p>
            <w:r>
              <w:rPr>
                <w:rFonts w:ascii="Times New Roman" w:hAnsi="Times New Roman" w:cs="Times New Roman" w:eastAsia="Times New Roman"/>
              </w:rPr>
              <w:t>Richard O. Duda, Peter E. Hart, David G. Stork, Pattern Classification, 2. ed., Willey, 2000.</w:t>
            </w:r>
          </w:p>
          <w:p>
            <w:r>
              <w:rPr>
                <w:rFonts w:ascii="Times New Roman" w:hAnsi="Times New Roman" w:cs="Times New Roman" w:eastAsia="Times New Roman"/>
              </w:rPr>
              <w:t>BITTENCOURT, Guilherme. Inteligência artificial: ferramentas e teorias. 3. ed. Florianópolis, SC: Editora da UFSC, 2006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