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METODOLOGIA CIENTÍFICA APLICADA À COMPUTAÇÃO</w:t>
            </w:r>
          </w:p>
        </w:tc>
        <w:tc>
          <w:tcPr>
            <w:gridSpan w:val="2"/>
            <w:tcBorders>
              <w:top w:color="000000" w:space="0" w:sz="4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14112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COMPUTAÇÃO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CIÊNCIA DA COMPUTAÇÃO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  -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NENHUM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Tipos de conhecimento. Conhecimento científico. Ciência e linguagem. Explicações científicas. Alcance, limite e estrutura de hipóteses. Leis e teorias científicas. Metodologia de pesquisa em ciências exatas: pesquisa bibliográfica, elaboração, execução e acompanhamento de projetos de pesquisa: problematização, hipóteses, métodos e seleção de amostra. Normatização de trabalhos técnico científicos. Técnicas de coleta de dados. Análise de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SEVERINO, A. J. Metodologia do Trabalho Científico. 23. ed. São Paulo: Cortez, 2007. 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MÁTTAR NETO, João Augusto. Metodologia científica na era da informática. São Paulo: Saraiva, 2010.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CERVO, A. L.; BERVIAN, P. A.; DA SILVA, R. Metodologia Científica. 6. ed. São Paulo: Pearson Prentice Hall, 2007.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PEREIRA, M. G. Artigos científicos: Como Redigir, Publicar e Avaliar. Editora Guanabara Koogan, 2011.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KÖCHE, José Carlos. Fundamentos de metodologia científica: teoria da ciência e iniciação à pesquisa. 24. ed. Petrópolis, RJ: Vozes, 2007. 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SECAF, V. Artigo Científico: do desafio à conquista. 5. ed. São Paulo: ATHENEU, 2010.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LAKATOS, Eva Maria; MARCONI, Marina de Andrade. Metodologia científica. 5. ed. São Paulo: Atlas, 2010.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SANTOS, Antonio Raimundo dos. Metodologia cientifica: a construção do conhecimento. 4. ed. Rio de Janeiro: DP&amp;A, 2001.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WAZLAWICK, R. S. Metodologia de Pesquisa para Ciência da Computação. Rio de Janeiro: Elsevier, 2008.</w:t>
            </w:r>
          </w:p>
        </w:tc>
      </w:tr>
    </w:tbl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275.590551181102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both"/>
      <w:rPr/>
    </w:pPr>
    <w:r w:rsidDel="00000000" w:rsidR="00000000" w:rsidRPr="00000000">
      <w:rPr>
        <w:rFonts w:ascii="Georgia" w:cs="Georgia" w:eastAsia="Georgia" w:hAnsi="Georgia"/>
        <w:i w:val="1"/>
        <w:iCs w:val="1"/>
        <w:sz w:val="20"/>
        <w:szCs w:val="20"/>
        <w:rtl w:val="0"/>
      </w:rPr>
      <w:t xml:space="preserve">*Essa disciplina poderá ter até 4 encontros a distância, se aprovado em plano de ensino pelo colegiado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A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4B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4C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4D">
    <w:pPr>
      <w:pageBreakBefore w:val="0"/>
      <w:ind w:left="720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  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