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ANÁLISE VISUAL DO COMPORTAMENTO HUMANO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NOVA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 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14074 - INTELIGÊNCIA ARTIFICIAL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EQUIVALÊNCIA: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do comportamento humano visualmente observável: linguagem corporal, posturas, expressões e relações espaciais. Técnicas computacionais para análise visual 2D e 3D do corpo humano em imagens e vídeos — da detecção e segmentação de pessoas ao reconhecimento de gestos, emoções, ações, atividades e interações. Aplicações em saúde, educação, segurança, indústria, varejo e mobilidade urbana. Implicações éticas, riscos de vigilância e mecanismos de privacidade e anonimização. Desenvolvimento de projetos com impacto social positivo.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Geral: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estudante a compreender, implementar e avaliar criticamente sistemas computacionais para análise visual do comportamento humano, integrando fundamentos teóricos, técnicas de visão computacional e consciência ética para o desenvolvimento de soluções com impacto social positivo.</w:t>
            </w:r>
          </w:p>
          <w:p>
            <w:r>
              <w:rPr>
                <w:rFonts w:ascii="Times New Roman" w:hAnsi="Times New Roman" w:cs="Times New Roman" w:eastAsia="Times New Roman"/>
              </w:rPr>
              <w:t>Específicos</w:t>
            </w:r>
          </w:p>
          <w:p>
            <w:r>
              <w:rPr>
                <w:rFonts w:ascii="Times New Roman" w:hAnsi="Times New Roman" w:cs="Times New Roman" w:eastAsia="Times New Roman"/>
              </w:rPr>
              <w:t>Definir o comportamento humano visualmente observável em suas várias dimensões.</w:t>
            </w:r>
          </w:p>
          <w:p>
            <w:r>
              <w:rPr>
                <w:rFonts w:ascii="Times New Roman" w:hAnsi="Times New Roman" w:cs="Times New Roman" w:eastAsia="Times New Roman"/>
              </w:rPr>
              <w:t>Implementar pipelines de análise com foco na compreensão semântica espacial e temporal do comportamento humano e de suas relações com os ambientes.</w:t>
            </w:r>
          </w:p>
          <w:p>
            <w:r>
              <w:rPr>
                <w:rFonts w:ascii="Times New Roman" w:hAnsi="Times New Roman" w:cs="Times New Roman" w:eastAsia="Times New Roman"/>
              </w:rPr>
              <w:t>Relacionar as técnicas estudadas com aplicações em domínios sociais de relevância.</w:t>
            </w:r>
          </w:p>
          <w:p>
            <w:r>
              <w:rPr>
                <w:rFonts w:ascii="Times New Roman" w:hAnsi="Times New Roman" w:cs="Times New Roman" w:eastAsia="Times New Roman"/>
              </w:rPr>
              <w:t>Analisar criticamente os riscos éticos e sociais da área, aplicando princípios de privacidade e responsabilidade no desenvolvimento de sistemas.</w:t>
            </w:r>
          </w:p>
          <w:p>
            <w:r>
              <w:rPr>
                <w:rFonts w:ascii="Times New Roman" w:hAnsi="Times New Roman" w:cs="Times New Roman" w:eastAsia="Times New Roman"/>
              </w:rPr>
              <w:t>Conceber e prototipar uma aplicação original com impacto social mensurável e potencial de escalabilidade e disrupção.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Comportamento Humano Visível</w:t>
            </w:r>
          </w:p>
          <w:p>
            <w:r>
              <w:rPr>
                <w:rFonts w:ascii="Times New Roman" w:hAnsi="Times New Roman" w:cs="Times New Roman" w:eastAsia="Times New Roman"/>
              </w:rPr>
              <w:t>A linguagem do corpo, expressões faciais, posturas, gestos e a ocupação do espaço</w:t>
            </w:r>
          </w:p>
          <w:p>
            <w:r>
              <w:rPr>
                <w:rFonts w:ascii="Times New Roman" w:hAnsi="Times New Roman" w:cs="Times New Roman" w:eastAsia="Times New Roman"/>
              </w:rPr>
              <w:t>A dimensão temporal do comportamento, do instante (pose) ao hábito (longa duração)</w:t>
            </w:r>
          </w:p>
          <w:p>
            <w:r>
              <w:rPr>
                <w:rFonts w:ascii="Times New Roman" w:hAnsi="Times New Roman" w:cs="Times New Roman" w:eastAsia="Times New Roman"/>
              </w:rPr>
              <w:t>Consciência e inconsciência na expressividade, o que é possível capturar e interpretar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Técnicas de Visão Computacional</w:t>
            </w:r>
          </w:p>
          <w:p>
            <w:r>
              <w:rPr>
                <w:rFonts w:ascii="Times New Roman" w:hAnsi="Times New Roman" w:cs="Times New Roman" w:eastAsia="Times New Roman"/>
              </w:rPr>
              <w:t>Presença e estrutura básica: detecção e segmentação de pessoas e estimativa de pose</w:t>
            </w:r>
          </w:p>
          <w:p>
            <w:r>
              <w:rPr>
                <w:rFonts w:ascii="Times New Roman" w:hAnsi="Times New Roman" w:cs="Times New Roman" w:eastAsia="Times New Roman"/>
              </w:rPr>
              <w:t>Movimento e ação: reconhecimento de gestos, marcha e ações</w:t>
            </w:r>
          </w:p>
          <w:p>
            <w:r>
              <w:rPr>
                <w:rFonts w:ascii="Times New Roman" w:hAnsi="Times New Roman" w:cs="Times New Roman" w:eastAsia="Times New Roman"/>
              </w:rPr>
              <w:t>Estados e atividades: reconhecimento de expressões, emoções e atividades</w:t>
            </w:r>
          </w:p>
          <w:p>
            <w:r>
              <w:rPr>
                <w:rFonts w:ascii="Times New Roman" w:hAnsi="Times New Roman" w:cs="Times New Roman" w:eastAsia="Times New Roman"/>
              </w:rPr>
              <w:t>Contexto: interação humano-objeto, relações em vídeo e geração de grafos de cena</w:t>
            </w:r>
          </w:p>
          <w:p>
            <w:r>
              <w:rPr>
                <w:rFonts w:ascii="Times New Roman" w:hAnsi="Times New Roman" w:cs="Times New Roman" w:eastAsia="Times New Roman"/>
              </w:rPr>
              <w:t>Modelos de linguagem para movimento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Aplicações e Impacto Social</w:t>
            </w:r>
          </w:p>
          <w:p>
            <w:r>
              <w:rPr>
                <w:rFonts w:ascii="Times New Roman" w:hAnsi="Times New Roman" w:cs="Times New Roman" w:eastAsia="Times New Roman"/>
              </w:rPr>
              <w:t>Saúde e bem-estar</w:t>
            </w:r>
          </w:p>
          <w:p>
            <w:r>
              <w:rPr>
                <w:rFonts w:ascii="Times New Roman" w:hAnsi="Times New Roman" w:cs="Times New Roman" w:eastAsia="Times New Roman"/>
              </w:rPr>
              <w:t>Segurança e mobilidade</w:t>
            </w:r>
          </w:p>
          <w:p>
            <w:r>
              <w:rPr>
                <w:rFonts w:ascii="Times New Roman" w:hAnsi="Times New Roman" w:cs="Times New Roman" w:eastAsia="Times New Roman"/>
              </w:rPr>
              <w:t>Varejo e indústria</w:t>
            </w:r>
          </w:p>
          <w:p>
            <w:r>
              <w:rPr>
                <w:rFonts w:ascii="Times New Roman" w:hAnsi="Times New Roman" w:cs="Times New Roman" w:eastAsia="Times New Roman"/>
              </w:rPr>
              <w:t>Educação e entretenimento</w:t>
            </w:r>
          </w:p>
          <w:p>
            <w:r>
              <w:rPr>
                <w:rFonts w:ascii="Times New Roman" w:hAnsi="Times New Roman" w:cs="Times New Roman" w:eastAsia="Times New Roman"/>
              </w:rPr>
              <w:t>Análise crítica de casos de uso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Ética, Privacidade e Mitigação de Riscos</w:t>
            </w:r>
          </w:p>
          <w:p>
            <w:r>
              <w:rPr>
                <w:rFonts w:ascii="Times New Roman" w:hAnsi="Times New Roman" w:cs="Times New Roman" w:eastAsia="Times New Roman"/>
              </w:rPr>
              <w:t>Vigilância em massa, viés algorítmico, controle social, manipulação de comportamento</w:t>
            </w:r>
          </w:p>
          <w:p>
            <w:r>
              <w:rPr>
                <w:rFonts w:ascii="Times New Roman" w:hAnsi="Times New Roman" w:cs="Times New Roman" w:eastAsia="Times New Roman"/>
              </w:rPr>
              <w:t>Regulamentações e marcos legais (ex.: LGPD) aplicados à análise de comportamento</w:t>
            </w:r>
          </w:p>
          <w:p>
            <w:r>
              <w:rPr>
                <w:rFonts w:ascii="Times New Roman" w:hAnsi="Times New Roman" w:cs="Times New Roman" w:eastAsia="Times New Roman"/>
              </w:rPr>
              <w:t>Privacidade por design, técnicas de anonimização e privacy-preserving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Projeto Integrador e Inovação</w:t>
            </w:r>
          </w:p>
          <w:p>
            <w:r>
              <w:rPr>
                <w:rFonts w:ascii="Times New Roman" w:hAnsi="Times New Roman" w:cs="Times New Roman" w:eastAsia="Times New Roman"/>
              </w:rPr>
              <w:t>Identificação de problemas reais e oportunidades de aplicação responsável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Desenvolvimento de uma solução de análise de comportamento</w:t>
            </w:r>
          </w:p>
          <w:p>
            <w:r>
              <w:rPr>
                <w:rFonts w:ascii="Times New Roman" w:hAnsi="Times New Roman" w:cs="Times New Roman" w:eastAsia="Times New Roman"/>
              </w:rPr>
              <w:t>Escalabilidade, sustentabilidade e integração de requisitos éticos desde a concepção</w:t>
            </w:r>
          </w:p>
          <w:p>
            <w:r>
              <w:rPr>
                <w:rFonts w:ascii="Times New Roman" w:hAnsi="Times New Roman" w:cs="Times New Roman" w:eastAsia="Times New Roman"/>
              </w:rPr>
              <w:t>Referências:</w:t>
            </w:r>
          </w:p>
          <w:p>
            <w:r>
              <w:rPr>
                <w:rFonts w:ascii="Times New Roman" w:hAnsi="Times New Roman" w:cs="Times New Roman" w:eastAsia="Times New Roman"/>
              </w:rPr>
              <w:t>SZELISKI, R. Computer Vision: Algorithms and Applications. 1. ed. Springer, 2010. 812 p.</w:t>
            </w:r>
          </w:p>
          <w:p>
            <w:r>
              <w:rPr>
                <w:rFonts w:ascii="Times New Roman" w:hAnsi="Times New Roman" w:cs="Times New Roman" w:eastAsia="Times New Roman"/>
              </w:rPr>
              <w:t>KLETTE, R. Concise Computer Vision: An Introduction into Theory and Algorithms. Springer, 2014. 429 p.</w:t>
            </w:r>
          </w:p>
          <w:p>
            <w:r>
              <w:rPr>
                <w:rFonts w:ascii="Times New Roman" w:hAnsi="Times New Roman" w:cs="Times New Roman" w:eastAsia="Times New Roman"/>
              </w:rPr>
              <w:t>FACELI, K.; LORENA, A.; GAMA, J.; CARVALHO, A. Inteligência Artificial: Uma Abordagem de Aprendizado de Máquina. 1. ed. LTC, 2011. 394 p.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EKMAN, P. Emotions Revealed: Recognizing Faces and Feelings to Improve Communication and Emotional Life. 2. ed. New York: Owl Books,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MEHRABIAN, A. Nonverbal Communication. New Brunswick: Aldine Transaction,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GOODFELLOW, I.; BENGIO, Y.; COURVILLE, A. Deep Learning. Cambridge: MIT Press, 2016.</w:t>
            </w:r>
          </w:p>
          <w:p>
            <w:r>
              <w:rPr>
                <w:rFonts w:ascii="Times New Roman" w:hAnsi="Times New Roman" w:cs="Times New Roman" w:eastAsia="Times New Roman"/>
              </w:rPr>
              <w:t>AGGARWAL, J. K.; RYOO, M. S. Human activity analysis: A review. ACM Computing Surveys, v. 43, n. 3, art. 16,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ZUBOFF, S. The Age of Surveillance Capitalism: The Fight for a Human Future at the New Frontier of Power. New York: PublicAffairs, 2019.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