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fck0sdg3tv3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Contextualização da BioCalc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BioCalc</w:t>
      </w:r>
      <w:r w:rsidDel="00000000" w:rsidR="00000000" w:rsidRPr="00000000">
        <w:rPr>
          <w:rtl w:val="0"/>
        </w:rPr>
        <w:t xml:space="preserve"> é uma ferramenta computacional desenvolvida originalmente em planilhas do Google Docs para apoiar a quantificação da </w:t>
      </w:r>
      <w:r w:rsidDel="00000000" w:rsidR="00000000" w:rsidRPr="00000000">
        <w:rPr>
          <w:b w:val="1"/>
          <w:bCs w:val="1"/>
          <w:rtl w:val="0"/>
        </w:rPr>
        <w:t xml:space="preserve">pegada de carbono</w:t>
      </w:r>
      <w:r w:rsidDel="00000000" w:rsidR="00000000" w:rsidRPr="00000000">
        <w:rPr>
          <w:rtl w:val="0"/>
        </w:rPr>
        <w:t xml:space="preserve"> e a estimativa de </w:t>
      </w:r>
      <w:r w:rsidDel="00000000" w:rsidR="00000000" w:rsidRPr="00000000">
        <w:rPr>
          <w:b w:val="1"/>
          <w:bCs w:val="1"/>
          <w:rtl w:val="0"/>
        </w:rPr>
        <w:t xml:space="preserve">créditos de descarbonização</w:t>
      </w:r>
      <w:r w:rsidDel="00000000" w:rsidR="00000000" w:rsidRPr="00000000">
        <w:rPr>
          <w:rtl w:val="0"/>
        </w:rPr>
        <w:t xml:space="preserve"> (CBIOs) aplicados a biocombustíveis sólidos, como pellets e briquetes. Esses combustíveis são produzidos a partir de biomassa lignocelulósica (casca de amendoim, resíduos de madeira, eucalipto, pinus, entre outros) e têm ganhado relevância no contexto de políticas globais de mitigação das mudanças climáticas.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ferramenta foi inspirada no </w:t>
      </w:r>
      <w:r w:rsidDel="00000000" w:rsidR="00000000" w:rsidRPr="00000000">
        <w:rPr>
          <w:b w:val="1"/>
          <w:bCs w:val="1"/>
          <w:rtl w:val="0"/>
        </w:rPr>
        <w:t xml:space="preserve">RenovaCalc</w:t>
      </w:r>
      <w:r w:rsidDel="00000000" w:rsidR="00000000" w:rsidRPr="00000000">
        <w:rPr>
          <w:rtl w:val="0"/>
        </w:rPr>
        <w:t xml:space="preserve">, modelo oficial do programa </w:t>
      </w:r>
      <w:r w:rsidDel="00000000" w:rsidR="00000000" w:rsidRPr="00000000">
        <w:rPr>
          <w:b w:val="1"/>
          <w:bCs w:val="1"/>
          <w:rtl w:val="0"/>
        </w:rPr>
        <w:t xml:space="preserve">RenovaBio</w:t>
      </w:r>
      <w:r w:rsidDel="00000000" w:rsidR="00000000" w:rsidRPr="00000000">
        <w:rPr>
          <w:rtl w:val="0"/>
        </w:rPr>
        <w:t xml:space="preserve"> no Brasil, mas adaptada para considerar a realidade dos </w:t>
      </w:r>
      <w:r w:rsidDel="00000000" w:rsidR="00000000" w:rsidRPr="00000000">
        <w:rPr>
          <w:b w:val="1"/>
          <w:bCs w:val="1"/>
          <w:rtl w:val="0"/>
        </w:rPr>
        <w:t xml:space="preserve">biocombustíveis sólidos</w:t>
      </w:r>
      <w:r w:rsidDel="00000000" w:rsidR="00000000" w:rsidRPr="00000000">
        <w:rPr>
          <w:rtl w:val="0"/>
        </w:rPr>
        <w:t xml:space="preserve">, ainda pouco regulamentados no país. O diferencial da BioCalc é integrar conceitos de </w:t>
      </w:r>
      <w:r w:rsidDel="00000000" w:rsidR="00000000" w:rsidRPr="00000000">
        <w:rPr>
          <w:b w:val="1"/>
          <w:bCs w:val="1"/>
          <w:rtl w:val="0"/>
        </w:rPr>
        <w:t xml:space="preserve">Avaliação do Ciclo de Vida (ACV)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bioeconomia circular</w:t>
      </w:r>
      <w:r w:rsidDel="00000000" w:rsidR="00000000" w:rsidRPr="00000000">
        <w:rPr>
          <w:rtl w:val="0"/>
        </w:rPr>
        <w:t xml:space="preserve">, possibilitando análises transparentes e comparáveis de diferentes cenários de produção e mercado. 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delineamento dos sistemas de produção, transporte, uso e destinação dos biocombustíveis sólidos foi embasado em referências científicas e bases de dados reconhecidas: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Literatura científica (Silva et al., 2022; Farrapo Jr. et al., 2023; Matheus et al., 2024), que detalham cadeias produtivas de pellets e briquetes em contextos latino-americanos;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Base de dados Ecoinvent (3.9.1 e 3.10), para modelagem de insumos industriais, energia, transporte e cenários de combustão;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Painel Intergovernamental sobre Mudanças Climáticas (IPCC), fonte dos fatores de emissão de GEE, incluindo a fase de combustão (emissões de CO₂ biogênico, NOx, SO₂, MP10);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Companhia Nacional de Abastecimento (CONAB), para dados de produção agrícola e disponibilidade de biomassa no Brasil;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Bases logísticas e governamentais (gov.br, ANTT, searates.com), para caracterização dos modais de transporte e fluxos de exportação;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Inventários técnicos e relatórios de eficiência energética (IEA, EPE, MME), utilizados para parâmetros de uso final em caldeiras e usinas termelétricas.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ferramenta combina dados primários (quando disponíveis) e secundários (literatura e bases oficiais) para calcular a intensidade de carbono em quatro fases principais: agrícola, industrial, distribuição e uso.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hpekwwg0g6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Importância do tema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setor de energia é um dos maiores emissores de gases de efeito estufa (GEE) e, portanto, estratégico nas metas de </w:t>
      </w:r>
      <w:r w:rsidDel="00000000" w:rsidR="00000000" w:rsidRPr="00000000">
        <w:rPr>
          <w:b w:val="1"/>
          <w:bCs w:val="1"/>
          <w:rtl w:val="0"/>
        </w:rPr>
        <w:t xml:space="preserve">descarbonização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substituição de combustíveis fósseis por </w:t>
      </w:r>
      <w:r w:rsidDel="00000000" w:rsidR="00000000" w:rsidRPr="00000000">
        <w:rPr>
          <w:b w:val="1"/>
          <w:bCs w:val="1"/>
          <w:rtl w:val="0"/>
        </w:rPr>
        <w:t xml:space="preserve">biocombustíveis sólidos</w:t>
      </w:r>
      <w:r w:rsidDel="00000000" w:rsidR="00000000" w:rsidRPr="00000000">
        <w:rPr>
          <w:rtl w:val="0"/>
        </w:rPr>
        <w:t xml:space="preserve"> pode reduzir em até 97% as emissões de GEE quando comparados a carvão mineral e óleo combustível.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Entretanto, a </w:t>
      </w:r>
      <w:r w:rsidDel="00000000" w:rsidR="00000000" w:rsidRPr="00000000">
        <w:rPr>
          <w:b w:val="1"/>
          <w:bCs w:val="1"/>
          <w:rtl w:val="0"/>
        </w:rPr>
        <w:t xml:space="preserve">quantificação das emissões</w:t>
      </w:r>
      <w:r w:rsidDel="00000000" w:rsidR="00000000" w:rsidRPr="00000000">
        <w:rPr>
          <w:rtl w:val="0"/>
        </w:rPr>
        <w:t xml:space="preserve"> e dos </w:t>
      </w:r>
      <w:r w:rsidDel="00000000" w:rsidR="00000000" w:rsidRPr="00000000">
        <w:rPr>
          <w:b w:val="1"/>
          <w:bCs w:val="1"/>
          <w:rtl w:val="0"/>
        </w:rPr>
        <w:t xml:space="preserve">créditos de carbono</w:t>
      </w:r>
      <w:r w:rsidDel="00000000" w:rsidR="00000000" w:rsidRPr="00000000">
        <w:rPr>
          <w:rtl w:val="0"/>
        </w:rPr>
        <w:t xml:space="preserve"> ainda enfrenta desafios metodológicos, regulatórios e técnicos.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BioCalc surge nesse cenário como uma </w:t>
      </w:r>
      <w:r w:rsidDel="00000000" w:rsidR="00000000" w:rsidRPr="00000000">
        <w:rPr>
          <w:b w:val="1"/>
          <w:bCs w:val="1"/>
          <w:rtl w:val="0"/>
        </w:rPr>
        <w:t xml:space="preserve">ferramenta de apoio à decisão</w:t>
      </w:r>
      <w:r w:rsidDel="00000000" w:rsidR="00000000" w:rsidRPr="00000000">
        <w:rPr>
          <w:rtl w:val="0"/>
        </w:rPr>
        <w:t xml:space="preserve">, permitindo calcular de forma padronizada: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intensidade de carbono</w:t>
      </w:r>
      <w:r w:rsidDel="00000000" w:rsidR="00000000" w:rsidRPr="00000000">
        <w:rPr>
          <w:rtl w:val="0"/>
        </w:rPr>
        <w:t xml:space="preserve"> (gCO₂eq/MJ) de diferentes rotas produtivas.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potencial de geração de </w:t>
      </w:r>
      <w:r w:rsidDel="00000000" w:rsidR="00000000" w:rsidRPr="00000000">
        <w:rPr>
          <w:b w:val="1"/>
          <w:bCs w:val="1"/>
          <w:rtl w:val="0"/>
        </w:rPr>
        <w:t xml:space="preserve">créditos de descarbonização (CBIOs)</w:t>
      </w:r>
      <w:r w:rsidDel="00000000" w:rsidR="00000000" w:rsidRPr="00000000">
        <w:rPr>
          <w:rtl w:val="0"/>
        </w:rPr>
        <w:t xml:space="preserve">, considerando metodologias distintas de ACV: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ACV atribucional padrão</w:t>
      </w:r>
      <w:r w:rsidDel="00000000" w:rsidR="00000000" w:rsidRPr="00000000">
        <w:rPr>
          <w:rtl w:val="0"/>
        </w:rPr>
        <w:t xml:space="preserve"> (conforme IPCC).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Circular Footprint Formula (CFF)</w:t>
      </w:r>
      <w:r w:rsidDel="00000000" w:rsidR="00000000" w:rsidRPr="00000000">
        <w:rPr>
          <w:rtl w:val="0"/>
        </w:rPr>
        <w:t xml:space="preserve">, abordagem europeia baseada na economia circular.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Hipótese de carga zero (zero-burden)</w:t>
      </w:r>
      <w:r w:rsidDel="00000000" w:rsidR="00000000" w:rsidRPr="00000000">
        <w:rPr>
          <w:rtl w:val="0"/>
        </w:rPr>
        <w:t xml:space="preserve">, que assume ausência de impacto em resíduos.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azng26gtce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atual (planilha Google)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versão em planilha possui: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Banco de dados de fatores de emissão</w:t>
      </w:r>
      <w:r w:rsidDel="00000000" w:rsidR="00000000" w:rsidRPr="00000000">
        <w:rPr>
          <w:rtl w:val="0"/>
        </w:rPr>
        <w:t xml:space="preserve"> (energia elétrica, transporte, insumos agrícolas, processos industriais).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Módulos de cálculo</w:t>
      </w:r>
      <w:r w:rsidDel="00000000" w:rsidR="00000000" w:rsidRPr="00000000">
        <w:rPr>
          <w:rtl w:val="0"/>
        </w:rPr>
        <w:t xml:space="preserve"> para etapas do ciclo de vida: produção da biomassa, processamento, transporte e uso final.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Interfaces de entrada de dados</w:t>
      </w:r>
      <w:r w:rsidDel="00000000" w:rsidR="00000000" w:rsidRPr="00000000">
        <w:rPr>
          <w:rtl w:val="0"/>
        </w:rPr>
        <w:t xml:space="preserve"> (campos preenchidos pelo usuário).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Resultados automáticos</w:t>
      </w:r>
      <w:r w:rsidDel="00000000" w:rsidR="00000000" w:rsidRPr="00000000">
        <w:rPr>
          <w:rtl w:val="0"/>
        </w:rPr>
        <w:t xml:space="preserve"> em forma de tabelas e gráficos comparativos.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Apesar de funcional, a planilha apresenta </w:t>
      </w:r>
      <w:r w:rsidDel="00000000" w:rsidR="00000000" w:rsidRPr="00000000">
        <w:rPr>
          <w:b w:val="1"/>
          <w:bCs w:val="1"/>
          <w:rtl w:val="0"/>
        </w:rPr>
        <w:t xml:space="preserve">limitações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Dificuldade de escalabilidade e usabilidade em projetos maiores.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Restrição na visualização de cenários comparativos.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Dependência de interface pouco amigável para usuários não especialistas.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i4pejfva4f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Oportunidade de evolução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Transformar a BioCalc em um </w:t>
      </w:r>
      <w:r w:rsidDel="00000000" w:rsidR="00000000" w:rsidRPr="00000000">
        <w:rPr>
          <w:b w:val="1"/>
          <w:bCs w:val="1"/>
          <w:rtl w:val="0"/>
        </w:rPr>
        <w:t xml:space="preserve">software aplicado</w:t>
      </w:r>
      <w:r w:rsidDel="00000000" w:rsidR="00000000" w:rsidRPr="00000000">
        <w:rPr>
          <w:rtl w:val="0"/>
        </w:rPr>
        <w:t xml:space="preserve"> abre caminhos para: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Escalabilidade</w:t>
      </w:r>
      <w:r w:rsidDel="00000000" w:rsidR="00000000" w:rsidRPr="00000000">
        <w:rPr>
          <w:rtl w:val="0"/>
        </w:rPr>
        <w:t xml:space="preserve">: múltiplos usuários, diferentes bases de dados, atualizações dinâmicas.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Usabilidade</w:t>
      </w:r>
      <w:r w:rsidDel="00000000" w:rsidR="00000000" w:rsidRPr="00000000">
        <w:rPr>
          <w:rtl w:val="0"/>
        </w:rPr>
        <w:t xml:space="preserve">: interfaces gráficas intuitivas, relatórios automáticos, dashboards interativos.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Interoperabilidade</w:t>
      </w:r>
      <w:r w:rsidDel="00000000" w:rsidR="00000000" w:rsidRPr="00000000">
        <w:rPr>
          <w:rtl w:val="0"/>
        </w:rPr>
        <w:t xml:space="preserve">: integração com APIs de mercados de carbono, bancos de dados de ACV (ex.: Ecoinvent), e módulos educacionais.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Aplicação educacional</w:t>
      </w:r>
      <w:r w:rsidDel="00000000" w:rsidR="00000000" w:rsidRPr="00000000">
        <w:rPr>
          <w:rtl w:val="0"/>
        </w:rPr>
        <w:t xml:space="preserve">: uso em disciplinas de Computação, Engenharia e Sustentabilidade para treinar alunos em problemas reais.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Impacto real</w:t>
      </w:r>
      <w:r w:rsidDel="00000000" w:rsidR="00000000" w:rsidRPr="00000000">
        <w:rPr>
          <w:rtl w:val="0"/>
        </w:rPr>
        <w:t xml:space="preserve">: apoio a empresas, governos e ONGs que buscam quantificar créditos de carbono em biocombustíveis sólidos.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