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Tipos de EC2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 Amazon EC2 oferece uma variedade de tipos de instâncias otimizados para atender diferentes casos de uso. Os tipos de instâncias compreendem combinações variadas de capacidade de CPU, memória, armazenamento e rede e proporcionam a flexibilidade para escolher a combinação apropriada de recursos para seus aplicativos. Os principais tipos de instâncias do Amazon EC2 incluem: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de Uso Geral (A, T, M)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proporcionam um bom equilíbrio de computação, memória e rede e são uma boa escolha para muitas cargas de trabalho que não requerem especificações de hardware específicas.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Otimizadas para Computação (C)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são otimizadas para cargas de trabalho que exigem alta performance de CPU, como computação científica, modelagem e análise financeira, e renderização de mídia.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Otimizadas para Memória (R, X, Z)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são projetadas para cargas de trabalho que processam grandes conjuntos de dados na memória, como bancos de dados em memória, caches distribuídos, análise em memória e aplicações de big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Otimizadas para Armazenamento (D, I, H)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são projetadas para cargas de trabalho que requerem alto desempenho de armazenamento local, como bancos de dados escalonáveis, processamento de dados em escala de petabytes e aplicações de data warehousing.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Otimizadas para GPU (P, G, F, Inf)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são projetadas para cargas de trabalho de computação gráfica, como aprendizado de máquina, mineração de criptomoedas, renderização 3D, e aplicações de streaming de jogos.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Instâncias Arm (A1, M6g, C6g, R6g)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 Essas instâncias são baseadas na arquitetura Arm e são uma opção de baixo custo para cargas de trabalho que requerem um bom desempenho de CPU e suportam a arquitetura Arm.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firstLine="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Os tipos de instâncias do Amazon EC2 são constantemente atualizados e ampliados para suportar uma gama cada vez maior de casos de uso. É importante verificar a documentação mais recente da AWS para obter as informações mais atualizadas.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