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EA86" w14:textId="77777777" w:rsidR="00787B30" w:rsidRDefault="00000000">
      <w:pPr>
        <w:spacing w:before="240" w:after="80"/>
      </w:pPr>
      <w:r>
        <w:rPr>
          <w:b/>
          <w:bCs/>
          <w:color w:val="FF005C"/>
          <w:spacing w:val="60"/>
          <w:sz w:val="16"/>
          <w:szCs w:val="16"/>
        </w:rPr>
        <w:t>PERGUNTA 01 · ADEQUAÇÃO DO NÍVEL · IAN</w:t>
      </w:r>
    </w:p>
    <w:p w14:paraId="2EAC12D6" w14:textId="77777777" w:rsidR="00787B30" w:rsidRDefault="00000000">
      <w:pPr>
        <w:pStyle w:val="Ttulo1"/>
      </w:pPr>
      <w:r>
        <w:t>Qual é o perfil de defasagem dos alunos e como ele evolui?</w:t>
      </w:r>
    </w:p>
    <w:p w14:paraId="1A5B74D6" w14:textId="77777777" w:rsidR="00787B30" w:rsidRDefault="00000000">
      <w:pPr>
        <w:pStyle w:val="Ttulo2"/>
      </w:pPr>
      <w:r>
        <w:t>Distribuição geral</w:t>
      </w:r>
    </w:p>
    <w:p w14:paraId="419DE818" w14:textId="77777777" w:rsidR="00787B30" w:rsidRDefault="00000000">
      <w:pPr>
        <w:spacing w:after="120" w:line="320" w:lineRule="auto"/>
        <w:jc w:val="both"/>
      </w:pPr>
      <w:r>
        <w:t xml:space="preserve">O Indicador de Adequação de Nível (IAN) é uma medida discreta com três níveis observados na base: 10 </w:t>
      </w:r>
      <w:proofErr w:type="spellStart"/>
      <w:r>
        <w:t>pts</w:t>
      </w:r>
      <w:proofErr w:type="spellEnd"/>
      <w:r>
        <w:t xml:space="preserve"> (Em Fase), 5 </w:t>
      </w:r>
      <w:proofErr w:type="spellStart"/>
      <w:r>
        <w:t>pts</w:t>
      </w:r>
      <w:proofErr w:type="spellEnd"/>
      <w:r>
        <w:t xml:space="preserve"> (Defasagem Moderada) e 2,5 </w:t>
      </w:r>
      <w:proofErr w:type="spellStart"/>
      <w:r>
        <w:t>pts</w:t>
      </w:r>
      <w:proofErr w:type="spellEnd"/>
      <w:r>
        <w:t xml:space="preserve"> (Defasagem Severa). A análise sobre 4.571 registros revela um perfil dominado pela faixa intermediária: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3087"/>
        <w:gridCol w:w="3112"/>
        <w:gridCol w:w="3111"/>
        <w:gridCol w:w="25"/>
      </w:tblGrid>
      <w:tr w:rsidR="00787B30" w14:paraId="5AA89EE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DBCF4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Faixa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6CD7C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Alunos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5D6A8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% do total</w:t>
            </w:r>
          </w:p>
        </w:tc>
      </w:tr>
      <w:tr w:rsidR="00787B30" w14:paraId="5E2839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41241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Em Fase (IAN = 10)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D0C65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1.872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17528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41,0%</w:t>
            </w:r>
          </w:p>
        </w:tc>
      </w:tr>
      <w:tr w:rsidR="00787B30" w14:paraId="1177788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C59C2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Defasagem Moderada (IAN = 5)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C4D9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2.624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9FCE3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57,4%</w:t>
            </w:r>
          </w:p>
        </w:tc>
      </w:tr>
      <w:tr w:rsidR="00787B30" w14:paraId="1AB7527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82B70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Defasagem Severa (IAN = 2,5)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7315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75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CC5A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1,6%</w:t>
            </w:r>
          </w:p>
        </w:tc>
      </w:tr>
      <w:tr w:rsidR="00787B30" w14:paraId="7D2C4F3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E5E7EB"/>
              <w:left w:val="single" w:sz="24" w:space="0" w:color="FF005C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E44F71" w14:textId="77777777" w:rsidR="00787B30" w:rsidRDefault="00000000">
            <w:pPr>
              <w:spacing w:after="80"/>
            </w:pPr>
            <w:r>
              <w:rPr>
                <w:b/>
                <w:bCs/>
                <w:color w:val="FF005C"/>
                <w:spacing w:val="60"/>
                <w:sz w:val="16"/>
                <w:szCs w:val="16"/>
              </w:rPr>
              <w:t>ACHADO CENTRAL</w:t>
            </w:r>
          </w:p>
          <w:p w14:paraId="22C86736" w14:textId="77777777" w:rsidR="00787B30" w:rsidRDefault="00000000">
            <w:pPr>
              <w:spacing w:line="300" w:lineRule="auto"/>
            </w:pPr>
            <w:r>
              <w:rPr>
                <w:color w:val="0A0E1A"/>
              </w:rPr>
              <w:t>57,4% dos alunos apresentam defasagem moderada. Apesar de a defasagem severa parecer crítica em isolado, ela representa apenas 1,6% do contingente — o foco estratégico de intervenção deve ser o grupo intermediário, que sustenta o maior volume de risco potencial.</w:t>
            </w:r>
          </w:p>
        </w:tc>
      </w:tr>
    </w:tbl>
    <w:p w14:paraId="27E6FD11" w14:textId="77777777" w:rsidR="00787B30" w:rsidRDefault="00000000">
      <w:pPr>
        <w:pStyle w:val="Ttulo2"/>
      </w:pPr>
      <w:r>
        <w:t>Evolução temporal · 2020–2024</w:t>
      </w:r>
    </w:p>
    <w:p w14:paraId="63874F2A" w14:textId="77777777" w:rsidR="00787B30" w:rsidRDefault="00000000">
      <w:pPr>
        <w:spacing w:after="120" w:line="320" w:lineRule="auto"/>
        <w:jc w:val="both"/>
      </w:pPr>
      <w:r>
        <w:t>A média anual do IAN mostra trajetória em U: queda contínua até 2022 (mínimo pós-pandêmico) seguida de recuperação até 2024.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87B30" w14:paraId="547187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4DDDD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Ano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05ECC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IAN Médio</w:t>
            </w:r>
          </w:p>
        </w:tc>
      </w:tr>
      <w:tr w:rsidR="00787B30" w14:paraId="077A7F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81BB4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2020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B9186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7,43</w:t>
            </w:r>
          </w:p>
        </w:tc>
      </w:tr>
      <w:tr w:rsidR="00787B30" w14:paraId="71FDE2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B3E96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2021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CA189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6,90</w:t>
            </w:r>
          </w:p>
        </w:tc>
      </w:tr>
      <w:tr w:rsidR="00787B30" w14:paraId="478258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A3CF4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2022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139C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6,37</w:t>
            </w:r>
          </w:p>
        </w:tc>
      </w:tr>
      <w:tr w:rsidR="00787B30" w14:paraId="49F24A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055A2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2023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22CE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7,04</w:t>
            </w:r>
          </w:p>
        </w:tc>
      </w:tr>
      <w:tr w:rsidR="00787B30" w14:paraId="50FB53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B38C2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2024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D510F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7,46</w:t>
            </w:r>
          </w:p>
        </w:tc>
      </w:tr>
    </w:tbl>
    <w:p w14:paraId="54B32EC2" w14:textId="77777777" w:rsidR="00787B30" w:rsidRDefault="00000000">
      <w:pPr>
        <w:spacing w:after="120" w:line="320" w:lineRule="auto"/>
        <w:jc w:val="both"/>
      </w:pPr>
      <w:r>
        <w:t xml:space="preserve">Entre 2022 e 2024 houve recuperação de +17,1% no IAN médio (6,37 → 7,46), retornando ao patamar </w:t>
      </w:r>
      <w:proofErr w:type="spellStart"/>
      <w:r>
        <w:t>pré</w:t>
      </w:r>
      <w:proofErr w:type="spellEnd"/>
      <w:r>
        <w:t>-pandêmico. Porém a trajetória ainda é instável — recomenda-se monitoramento contínuo até confirmação de consolidação.</w:t>
      </w:r>
    </w:p>
    <w:p w14:paraId="79159C8B" w14:textId="77777777" w:rsidR="00787B30" w:rsidRDefault="00000000">
      <w:r>
        <w:br w:type="page"/>
      </w:r>
    </w:p>
    <w:p w14:paraId="4D23790E" w14:textId="77777777" w:rsidR="00787B30" w:rsidRDefault="00000000">
      <w:pPr>
        <w:spacing w:before="240" w:after="80"/>
      </w:pPr>
      <w:r>
        <w:rPr>
          <w:b/>
          <w:bCs/>
          <w:color w:val="FF005C"/>
          <w:spacing w:val="60"/>
          <w:sz w:val="16"/>
          <w:szCs w:val="16"/>
        </w:rPr>
        <w:lastRenderedPageBreak/>
        <w:t>PERGUNTA 02 · DESEMPENHO ACADÊMICO · IDA</w:t>
      </w:r>
    </w:p>
    <w:p w14:paraId="64E7F1F7" w14:textId="77777777" w:rsidR="00787B30" w:rsidRDefault="00000000">
      <w:pPr>
        <w:pStyle w:val="Ttulo1"/>
      </w:pPr>
      <w:r>
        <w:t>O desempenho acadêmico está melhorando, estagnado ou caindo?</w:t>
      </w:r>
    </w:p>
    <w:p w14:paraId="313A6F71" w14:textId="77777777" w:rsidR="00787B30" w:rsidRDefault="00000000">
      <w:pPr>
        <w:pStyle w:val="Ttulo2"/>
      </w:pPr>
      <w:r>
        <w:t>Distribuição do IDA</w:t>
      </w:r>
    </w:p>
    <w:p w14:paraId="29D20C4E" w14:textId="77777777" w:rsidR="00787B30" w:rsidRDefault="00000000">
      <w:pPr>
        <w:spacing w:after="120" w:line="320" w:lineRule="auto"/>
        <w:jc w:val="both"/>
      </w:pPr>
      <w:r>
        <w:t>Diferentemente do IAN, o IDA é contínuo (0–10) e apresenta distribuição mais dispersa, com média 6,20 e desvio-padrão 2,20.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7B30" w14:paraId="39E9B3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EE666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Faixa IDA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9BDA1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Classificação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CBCF4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% Alunos</w:t>
            </w:r>
          </w:p>
        </w:tc>
      </w:tr>
      <w:tr w:rsidR="00787B30" w14:paraId="548713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6244E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≥ 8,0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B9B7B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Alto Desempenho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87AA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22,8%</w:t>
            </w:r>
          </w:p>
        </w:tc>
      </w:tr>
      <w:tr w:rsidR="00787B30" w14:paraId="011005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6332E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6,0 – 7,9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64326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Esperado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B0809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37,7%</w:t>
            </w:r>
          </w:p>
        </w:tc>
      </w:tr>
      <w:tr w:rsidR="00787B30" w14:paraId="7D24D9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5789B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4,0 – 5,9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0B9C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Baixo Desempenho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4336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24,4%</w:t>
            </w:r>
          </w:p>
        </w:tc>
      </w:tr>
      <w:tr w:rsidR="00787B30" w14:paraId="6A35BA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69685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&lt; 4,0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92FF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Alerta — Crítico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2647C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15,1%</w:t>
            </w:r>
          </w:p>
        </w:tc>
      </w:tr>
    </w:tbl>
    <w:p w14:paraId="2A461E5D" w14:textId="77777777" w:rsidR="00787B30" w:rsidRDefault="00000000">
      <w:pPr>
        <w:pStyle w:val="Ttulo2"/>
      </w:pPr>
      <w:r>
        <w:t>Evolução por ano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87B30" w14:paraId="346534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7A821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Ano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9EBBB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IDA Médio</w:t>
            </w:r>
          </w:p>
        </w:tc>
      </w:tr>
      <w:tr w:rsidR="00787B30" w14:paraId="3340E9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95573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2020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FEF6C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6,32</w:t>
            </w:r>
          </w:p>
        </w:tc>
      </w:tr>
      <w:tr w:rsidR="00787B30" w14:paraId="74F248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A1F93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2021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A28F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5,43</w:t>
            </w:r>
          </w:p>
        </w:tc>
      </w:tr>
      <w:tr w:rsidR="00787B30" w14:paraId="7A25D7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2D6AB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2022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21D9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6,07</w:t>
            </w:r>
          </w:p>
        </w:tc>
      </w:tr>
      <w:tr w:rsidR="00787B30" w14:paraId="38F2B6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B8183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2023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43C1B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6,67</w:t>
            </w:r>
          </w:p>
        </w:tc>
      </w:tr>
      <w:tr w:rsidR="00787B30" w14:paraId="17E6C1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0D692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2024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4791B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6,35</w:t>
            </w:r>
          </w:p>
        </w:tc>
      </w:tr>
    </w:tbl>
    <w:p w14:paraId="0A87D036" w14:textId="77777777" w:rsidR="00787B30" w:rsidRDefault="00000000">
      <w:pPr>
        <w:spacing w:after="120" w:line="320" w:lineRule="auto"/>
        <w:jc w:val="both"/>
      </w:pPr>
      <w:r>
        <w:t>O IDA apresenta padrão mais oscilante que o IAN: queda em 2021, recuperação progressiva até 2023, leve recuo em 2024. A média global ainda está abaixo do patamar 7,0 considerado adequado.</w:t>
      </w:r>
    </w:p>
    <w:p w14:paraId="174B679C" w14:textId="77777777" w:rsidR="00787B30" w:rsidRDefault="00000000">
      <w:pPr>
        <w:pStyle w:val="Ttulo2"/>
      </w:pPr>
      <w:r>
        <w:t>Evolução por pedra (efetividade do programa)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4643"/>
        <w:gridCol w:w="4667"/>
        <w:gridCol w:w="25"/>
      </w:tblGrid>
      <w:tr w:rsidR="00787B30" w14:paraId="056114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68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283CB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Pedra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6DE76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IDA Médio</w:t>
            </w:r>
          </w:p>
        </w:tc>
      </w:tr>
      <w:tr w:rsidR="00787B30" w14:paraId="6A33C77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68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CD3E9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Quartzo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A8F9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2,90</w:t>
            </w:r>
          </w:p>
        </w:tc>
      </w:tr>
      <w:tr w:rsidR="00787B30" w14:paraId="4B293B4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68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7BC67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Ágata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3B7A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5,20</w:t>
            </w:r>
          </w:p>
        </w:tc>
      </w:tr>
      <w:tr w:rsidR="00787B30" w14:paraId="1770DDF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68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45383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Ametista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482F5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6,91</w:t>
            </w:r>
          </w:p>
        </w:tc>
      </w:tr>
      <w:tr w:rsidR="00787B30" w14:paraId="5F72A94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68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F9150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Topázio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68253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8,20</w:t>
            </w:r>
          </w:p>
        </w:tc>
      </w:tr>
      <w:tr w:rsidR="00787B30" w14:paraId="4756448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3"/>
            <w:tcBorders>
              <w:top w:val="single" w:sz="4" w:space="0" w:color="E5E7EB"/>
              <w:left w:val="single" w:sz="24" w:space="0" w:color="FF005C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D5F88A" w14:textId="77777777" w:rsidR="00787B30" w:rsidRDefault="00000000">
            <w:pPr>
              <w:spacing w:after="80"/>
            </w:pPr>
            <w:r>
              <w:rPr>
                <w:b/>
                <w:bCs/>
                <w:color w:val="FF005C"/>
                <w:spacing w:val="60"/>
                <w:sz w:val="16"/>
                <w:szCs w:val="16"/>
              </w:rPr>
              <w:lastRenderedPageBreak/>
              <w:t>RESPOSTA</w:t>
            </w:r>
          </w:p>
          <w:p w14:paraId="47ACB2DB" w14:textId="77777777" w:rsidR="00787B30" w:rsidRDefault="00000000">
            <w:pPr>
              <w:spacing w:line="300" w:lineRule="auto"/>
            </w:pPr>
            <w:r>
              <w:rPr>
                <w:color w:val="0A0E1A"/>
              </w:rPr>
              <w:t>O desempenho acadêmico não está em queda — está em recuperação parcial. A média global permanece próxima do limite inferior do nível adequado (6,20), com forte estratificação entre pedras: alunos Topázio dobram a performance dos Ágata e quase triplicam a dos Quartzo.</w:t>
            </w:r>
          </w:p>
        </w:tc>
      </w:tr>
    </w:tbl>
    <w:p w14:paraId="539038D3" w14:textId="63136D53" w:rsidR="00787B30" w:rsidRDefault="00787B30"/>
    <w:p w14:paraId="5EE0D68F" w14:textId="77777777" w:rsidR="00787B30" w:rsidRDefault="00000000">
      <w:pPr>
        <w:spacing w:before="240" w:after="80"/>
      </w:pPr>
      <w:r>
        <w:rPr>
          <w:b/>
          <w:bCs/>
          <w:color w:val="FF005C"/>
          <w:spacing w:val="60"/>
          <w:sz w:val="16"/>
          <w:szCs w:val="16"/>
        </w:rPr>
        <w:t>PERGUNTA 03 · ENGAJAMENTO · IEG</w:t>
      </w:r>
    </w:p>
    <w:p w14:paraId="729418F8" w14:textId="77777777" w:rsidR="00787B30" w:rsidRDefault="00000000">
      <w:pPr>
        <w:pStyle w:val="Ttulo1"/>
      </w:pPr>
      <w:r>
        <w:t>O engajamento tem relação direta com IDA e IPV?</w:t>
      </w:r>
    </w:p>
    <w:p w14:paraId="368EC6F3" w14:textId="77777777" w:rsidR="00787B30" w:rsidRDefault="00000000">
      <w:pPr>
        <w:pStyle w:val="Ttulo2"/>
      </w:pPr>
      <w:r>
        <w:t>Distribuição do IEG</w:t>
      </w:r>
    </w:p>
    <w:p w14:paraId="1E731EA3" w14:textId="77777777" w:rsidR="00787B30" w:rsidRDefault="00000000">
      <w:pPr>
        <w:spacing w:after="120" w:line="320" w:lineRule="auto"/>
        <w:jc w:val="both"/>
      </w:pPr>
      <w:r>
        <w:t>Média 7,90 com distribuição concentrada nas faixas superiores — 75,5% dos alunos estão em "Alto" ou "Muito Alto" engajamento.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7B30" w14:paraId="3CEF8F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B1C32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Faixa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580DB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Critério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D3177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% Alunos</w:t>
            </w:r>
          </w:p>
        </w:tc>
      </w:tr>
      <w:tr w:rsidR="00787B30" w14:paraId="16DB35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76F1A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Muito Alto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E2505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IEG ≥ 9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EEBD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36,3%</w:t>
            </w:r>
          </w:p>
        </w:tc>
      </w:tr>
      <w:tr w:rsidR="00787B30" w14:paraId="7E81A7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DF1B7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Alto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EED8C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 ≤ IEG &lt; 9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BD546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39,1%</w:t>
            </w:r>
          </w:p>
        </w:tc>
      </w:tr>
      <w:tr w:rsidR="00787B30" w14:paraId="7F2DAE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17D0F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Moderado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79611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5 ≤ IEG &lt; 7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50069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16,0%</w:t>
            </w:r>
          </w:p>
        </w:tc>
      </w:tr>
      <w:tr w:rsidR="00787B30" w14:paraId="7E8773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30C65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Baixo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F4041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IEG &lt; 5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0D4F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8,6%</w:t>
            </w:r>
          </w:p>
        </w:tc>
      </w:tr>
    </w:tbl>
    <w:p w14:paraId="2D56B4A3" w14:textId="77777777" w:rsidR="00787B30" w:rsidRDefault="00000000">
      <w:pPr>
        <w:pStyle w:val="Ttulo2"/>
      </w:pPr>
      <w:r>
        <w:t>Correlações com IDA e IPV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3083"/>
        <w:gridCol w:w="3113"/>
        <w:gridCol w:w="3114"/>
        <w:gridCol w:w="25"/>
      </w:tblGrid>
      <w:tr w:rsidR="00787B30" w14:paraId="32CAB5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9A1E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Par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166FC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Correlação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8B594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Interpretação</w:t>
            </w:r>
          </w:p>
        </w:tc>
      </w:tr>
      <w:tr w:rsidR="00787B30" w14:paraId="557CDE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075BD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IEG × IDA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1881C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0,60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F79B4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Forte · engajamento prevê parcialmente desempenho</w:t>
            </w:r>
          </w:p>
        </w:tc>
      </w:tr>
      <w:tr w:rsidR="00787B30" w14:paraId="2B9B0D1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14A12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IEG × IPV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366D0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0,50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BFDF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Moderada · engajamento sustenta inflexão positiva</w:t>
            </w:r>
          </w:p>
        </w:tc>
      </w:tr>
      <w:tr w:rsidR="00787B30" w14:paraId="28128FD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18703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IEG × INDE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57A9F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0,77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DFB68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Muito forte · IEG é 2º maior preditor do INDE</w:t>
            </w:r>
          </w:p>
        </w:tc>
      </w:tr>
      <w:tr w:rsidR="00787B30" w14:paraId="51C9D4C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E5E7EB"/>
              <w:left w:val="single" w:sz="24" w:space="0" w:color="FF005C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25C4E9" w14:textId="77777777" w:rsidR="00787B30" w:rsidRDefault="00000000">
            <w:pPr>
              <w:spacing w:after="80"/>
            </w:pPr>
            <w:r>
              <w:rPr>
                <w:b/>
                <w:bCs/>
                <w:color w:val="FF005C"/>
                <w:spacing w:val="60"/>
                <w:sz w:val="16"/>
                <w:szCs w:val="16"/>
              </w:rPr>
              <w:t>RESPOSTA</w:t>
            </w:r>
          </w:p>
          <w:p w14:paraId="22FFFE41" w14:textId="77777777" w:rsidR="00787B30" w:rsidRDefault="00000000">
            <w:pPr>
              <w:spacing w:line="300" w:lineRule="auto"/>
            </w:pPr>
            <w:r>
              <w:rPr>
                <w:color w:val="0A0E1A"/>
              </w:rPr>
              <w:t>Sim, mas com nuance importante: o engajamento mostra correlação positiva moderada com IDA (0,60) e relação ainda mais forte com o INDE global (0,77). Porém, a média de IEG (7,90) supera em 1,70 pontos a média do IDA (6,20) — engajar não basta para aprender. A qualidade da intervenção pedagógica é o elo crítico que converte engajamento em desempenho efetivo.</w:t>
            </w:r>
          </w:p>
        </w:tc>
      </w:tr>
    </w:tbl>
    <w:p w14:paraId="46F40BD0" w14:textId="77777777" w:rsidR="00787B30" w:rsidRDefault="00000000">
      <w:r>
        <w:br w:type="page"/>
      </w:r>
    </w:p>
    <w:p w14:paraId="1B7615A3" w14:textId="77777777" w:rsidR="00787B30" w:rsidRDefault="00000000">
      <w:pPr>
        <w:spacing w:before="240" w:after="80"/>
      </w:pPr>
      <w:r>
        <w:rPr>
          <w:b/>
          <w:bCs/>
          <w:color w:val="FF005C"/>
          <w:spacing w:val="60"/>
          <w:sz w:val="16"/>
          <w:szCs w:val="16"/>
        </w:rPr>
        <w:lastRenderedPageBreak/>
        <w:t>PERGUNTA 04 · AUTOAVALIAÇÃO · IAA</w:t>
      </w:r>
    </w:p>
    <w:p w14:paraId="1C28D759" w14:textId="77777777" w:rsidR="00787B30" w:rsidRDefault="00000000">
      <w:pPr>
        <w:pStyle w:val="Ttulo1"/>
      </w:pPr>
      <w:r>
        <w:t>As percepções dos alunos sobre si mesmos são coerentes com seu desempenho real?</w:t>
      </w:r>
    </w:p>
    <w:p w14:paraId="65DA2F98" w14:textId="77777777" w:rsidR="00787B30" w:rsidRDefault="00000000">
      <w:pPr>
        <w:pStyle w:val="Ttulo2"/>
      </w:pPr>
      <w:r>
        <w:t>Distribuição do IAA</w:t>
      </w:r>
    </w:p>
    <w:p w14:paraId="7E60D83F" w14:textId="77777777" w:rsidR="00787B30" w:rsidRDefault="00000000">
      <w:pPr>
        <w:spacing w:after="120" w:line="320" w:lineRule="auto"/>
        <w:jc w:val="both"/>
      </w:pPr>
      <w:r>
        <w:t>A autoavaliação tem média 8,05 — maior que o IDA (6,20) e que o próprio IEG (7,90). 72% dos alunos se autoavaliam em faixa "Alto" ou "Muito Alto".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7B30" w14:paraId="16D619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4D6A8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Faixa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BC8EB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Critério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7A9B4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% Alunos</w:t>
            </w:r>
          </w:p>
        </w:tc>
      </w:tr>
      <w:tr w:rsidR="00787B30" w14:paraId="5D59FA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C36E8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Muito Alto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32FAE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IAA ≥ 9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91866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45,8%</w:t>
            </w:r>
          </w:p>
        </w:tc>
      </w:tr>
      <w:tr w:rsidR="00787B30" w14:paraId="24C37D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69E8B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Alto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D35C1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 ≤ IAA &lt; 9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3FF3B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26,6%</w:t>
            </w:r>
          </w:p>
        </w:tc>
      </w:tr>
      <w:tr w:rsidR="00787B30" w14:paraId="4496B9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78BC9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Moderado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A9959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 ≤ IAA &lt; 8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9EAEF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19,2%</w:t>
            </w:r>
          </w:p>
        </w:tc>
      </w:tr>
      <w:tr w:rsidR="00787B30" w14:paraId="106CAF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93142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Baixo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3A56B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IAA &lt; 6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DB7B0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8,5%</w:t>
            </w:r>
          </w:p>
        </w:tc>
      </w:tr>
    </w:tbl>
    <w:p w14:paraId="348871AA" w14:textId="77777777" w:rsidR="00787B30" w:rsidRDefault="00000000">
      <w:pPr>
        <w:pStyle w:val="Ttulo2"/>
      </w:pPr>
      <w:r>
        <w:t>Coerência com desempenho real</w:t>
      </w:r>
    </w:p>
    <w:p w14:paraId="717D6251" w14:textId="77777777" w:rsidR="00787B30" w:rsidRDefault="00000000">
      <w:pPr>
        <w:spacing w:after="120" w:line="320" w:lineRule="auto"/>
        <w:jc w:val="both"/>
      </w:pPr>
      <w:r>
        <w:t>Análise por pedra revela inflação consistente: a média de IAA é superior à de IDA em todas as faixas, mas o gap é maior nas pedras inferiores.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2310"/>
        <w:gridCol w:w="2333"/>
        <w:gridCol w:w="2333"/>
        <w:gridCol w:w="2334"/>
        <w:gridCol w:w="25"/>
      </w:tblGrid>
      <w:tr w:rsidR="00787B30" w14:paraId="75225B7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34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1BC47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Pedra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0DD8F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IDA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0BB33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IAA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A5DEE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Gap (IAA − IDA)</w:t>
            </w:r>
          </w:p>
        </w:tc>
      </w:tr>
      <w:tr w:rsidR="00787B30" w14:paraId="0D03C6D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34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B9C34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Quartzo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444BE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2,90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DFC4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6,54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4D031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+3,64</w:t>
            </w:r>
          </w:p>
        </w:tc>
      </w:tr>
      <w:tr w:rsidR="00787B30" w14:paraId="7112B2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34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ED953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Ágata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43519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5,20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5C1CC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7,93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86E0C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+2,73</w:t>
            </w:r>
          </w:p>
        </w:tc>
      </w:tr>
      <w:tr w:rsidR="00787B30" w14:paraId="0266F2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34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1FBFE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Ametista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D277F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6,91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12673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8,35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CF885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+1,44</w:t>
            </w:r>
          </w:p>
        </w:tc>
      </w:tr>
      <w:tr w:rsidR="00787B30" w14:paraId="4B57676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34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4113D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Topázio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639E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8,20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88DF0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8,56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A186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+0,36</w:t>
            </w:r>
          </w:p>
        </w:tc>
      </w:tr>
      <w:tr w:rsidR="00787B30" w14:paraId="7890D64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5"/>
            <w:tcBorders>
              <w:top w:val="single" w:sz="4" w:space="0" w:color="E5E7EB"/>
              <w:left w:val="single" w:sz="24" w:space="0" w:color="FF005C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260260" w14:textId="77777777" w:rsidR="00787B30" w:rsidRDefault="00000000">
            <w:pPr>
              <w:spacing w:after="80"/>
            </w:pPr>
            <w:r>
              <w:rPr>
                <w:b/>
                <w:bCs/>
                <w:color w:val="FF005C"/>
                <w:spacing w:val="60"/>
                <w:sz w:val="16"/>
                <w:szCs w:val="16"/>
              </w:rPr>
              <w:t>RESPOSTA</w:t>
            </w:r>
          </w:p>
          <w:p w14:paraId="14360CAC" w14:textId="77777777" w:rsidR="00787B30" w:rsidRDefault="00000000">
            <w:pPr>
              <w:spacing w:line="300" w:lineRule="auto"/>
            </w:pPr>
            <w:r>
              <w:rPr>
                <w:color w:val="0A0E1A"/>
              </w:rPr>
              <w:t>A autoavaliação não é totalmente coerente com o desempenho real, especialmente nos extremos inferiores. Alunos Quartzo (baixo desempenho) se autoavaliam em média 3,64 pontos acima do seu IDA real — viés de superestimação. Já alunos Topázio mostram autoavaliação próxima ao real (gap +0,36). Implicação pedagógica: a baixa percepção de risco entre alunos críticos dificulta a adesão a planos de recuperação. Intervenções devem incluir devolutiva calibrada de autoavaliação.</w:t>
            </w:r>
          </w:p>
        </w:tc>
      </w:tr>
    </w:tbl>
    <w:p w14:paraId="67788F85" w14:textId="77777777" w:rsidR="00787B30" w:rsidRDefault="00000000">
      <w:r>
        <w:br w:type="page"/>
      </w:r>
    </w:p>
    <w:p w14:paraId="1726D0BD" w14:textId="77777777" w:rsidR="00787B30" w:rsidRDefault="00000000">
      <w:pPr>
        <w:spacing w:before="240" w:after="80"/>
      </w:pPr>
      <w:r>
        <w:rPr>
          <w:b/>
          <w:bCs/>
          <w:color w:val="FF005C"/>
          <w:spacing w:val="60"/>
          <w:sz w:val="16"/>
          <w:szCs w:val="16"/>
        </w:rPr>
        <w:lastRenderedPageBreak/>
        <w:t>PERGUNTA 05 · ASPECTOS PSICOSSOCIAIS · IPS</w:t>
      </w:r>
    </w:p>
    <w:p w14:paraId="472299F5" w14:textId="77777777" w:rsidR="00787B30" w:rsidRDefault="00000000">
      <w:pPr>
        <w:pStyle w:val="Ttulo1"/>
      </w:pPr>
      <w:r>
        <w:t>Há padrões psicossociais que antecedem quedas de desempenho?</w:t>
      </w:r>
    </w:p>
    <w:p w14:paraId="157927CB" w14:textId="77777777" w:rsidR="00787B30" w:rsidRDefault="00000000">
      <w:pPr>
        <w:pStyle w:val="Ttulo2"/>
      </w:pPr>
      <w:r>
        <w:t>Distribuição e correlações</w:t>
      </w:r>
    </w:p>
    <w:p w14:paraId="63F85DC7" w14:textId="77777777" w:rsidR="00787B30" w:rsidRDefault="00000000">
      <w:pPr>
        <w:spacing w:after="120" w:line="320" w:lineRule="auto"/>
        <w:jc w:val="both"/>
      </w:pPr>
      <w:r>
        <w:t>O IPS apresenta correlação direta relativamente fraca com INDE (0,225) e com IDA (0,40), MAS demonstra alta relevância na segmentação por cluster. Especificamente, o Cluster 2 ("Falha de aprendizado") é caracterizado por IPS médio drasticamente abaixo dos demais.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"/>
        <w:gridCol w:w="3087"/>
        <w:gridCol w:w="3113"/>
        <w:gridCol w:w="3111"/>
        <w:gridCol w:w="25"/>
      </w:tblGrid>
      <w:tr w:rsidR="00787B30" w14:paraId="2181698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27CA0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Cluster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3DE18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Perfil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BFBA2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IPS médio</w:t>
            </w:r>
          </w:p>
        </w:tc>
      </w:tr>
      <w:tr w:rsidR="00787B30" w14:paraId="575E933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ABE5A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58021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Deterioração gradual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12829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7,30</w:t>
            </w:r>
          </w:p>
        </w:tc>
      </w:tr>
      <w:tr w:rsidR="00787B30" w14:paraId="2BBB113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3B685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DF5F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Risco estrutural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1E2E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6,68</w:t>
            </w:r>
          </w:p>
        </w:tc>
      </w:tr>
      <w:tr w:rsidR="00787B30" w14:paraId="384162B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0152A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8D03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Falha de aprendizado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88D4C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3,64</w:t>
            </w:r>
          </w:p>
        </w:tc>
      </w:tr>
      <w:tr w:rsidR="00787B30" w14:paraId="651105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5ED76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3AAE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Queda recente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0FE85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6,76</w:t>
            </w:r>
          </w:p>
        </w:tc>
      </w:tr>
      <w:tr w:rsidR="00787B30" w14:paraId="3241BB1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E5E7EB"/>
              <w:left w:val="single" w:sz="24" w:space="0" w:color="FF005C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0E5513" w14:textId="77777777" w:rsidR="00787B30" w:rsidRDefault="00000000">
            <w:pPr>
              <w:spacing w:after="80"/>
            </w:pPr>
            <w:r>
              <w:rPr>
                <w:b/>
                <w:bCs/>
                <w:color w:val="FF005C"/>
                <w:spacing w:val="60"/>
                <w:sz w:val="16"/>
                <w:szCs w:val="16"/>
              </w:rPr>
              <w:t>RESPOSTA</w:t>
            </w:r>
          </w:p>
          <w:p w14:paraId="15E2A0DB" w14:textId="77777777" w:rsidR="00787B30" w:rsidRDefault="00000000">
            <w:pPr>
              <w:spacing w:line="300" w:lineRule="auto"/>
            </w:pPr>
            <w:r>
              <w:rPr>
                <w:color w:val="0A0E1A"/>
              </w:rPr>
              <w:t xml:space="preserve">Sim, especificamente no perfil "Falha de aprendizado" (Cluster 2): IPS médio de 3,64 contra média geral de 6,30. Alunos desse grupo apresentam engajamento </w:t>
            </w:r>
            <w:proofErr w:type="gramStart"/>
            <w:r>
              <w:rPr>
                <w:color w:val="0A0E1A"/>
              </w:rPr>
              <w:t>alto</w:t>
            </w:r>
            <w:proofErr w:type="gramEnd"/>
            <w:r>
              <w:rPr>
                <w:color w:val="0A0E1A"/>
              </w:rPr>
              <w:t xml:space="preserve"> mas desempenho baixo — o componente psicossocial atua como o principal limitador da conversão de esforço em resultado. Identificar IPS baixo precocemente permite intervenção antes da queda de IDA se consolidar.</w:t>
            </w:r>
          </w:p>
        </w:tc>
      </w:tr>
    </w:tbl>
    <w:p w14:paraId="2AF764AB" w14:textId="77777777" w:rsidR="00DD7EC7" w:rsidRDefault="00DD7EC7">
      <w:pPr>
        <w:spacing w:before="240" w:after="80"/>
        <w:rPr>
          <w:b/>
          <w:bCs/>
          <w:color w:val="FF005C"/>
          <w:spacing w:val="60"/>
          <w:sz w:val="16"/>
          <w:szCs w:val="16"/>
        </w:rPr>
      </w:pPr>
    </w:p>
    <w:p w14:paraId="29393ECD" w14:textId="77777777" w:rsidR="00DD7EC7" w:rsidRDefault="00DD7EC7">
      <w:pPr>
        <w:spacing w:before="240" w:after="80"/>
        <w:rPr>
          <w:b/>
          <w:bCs/>
          <w:color w:val="FF005C"/>
          <w:spacing w:val="60"/>
          <w:sz w:val="16"/>
          <w:szCs w:val="16"/>
        </w:rPr>
      </w:pPr>
    </w:p>
    <w:p w14:paraId="53BB0D75" w14:textId="77777777" w:rsidR="00DD7EC7" w:rsidRDefault="00DD7EC7">
      <w:pPr>
        <w:spacing w:before="240" w:after="80"/>
        <w:rPr>
          <w:b/>
          <w:bCs/>
          <w:color w:val="FF005C"/>
          <w:spacing w:val="60"/>
          <w:sz w:val="16"/>
          <w:szCs w:val="16"/>
        </w:rPr>
      </w:pPr>
    </w:p>
    <w:p w14:paraId="0472EA9F" w14:textId="77777777" w:rsidR="00DD7EC7" w:rsidRDefault="00DD7EC7">
      <w:pPr>
        <w:spacing w:before="240" w:after="80"/>
        <w:rPr>
          <w:b/>
          <w:bCs/>
          <w:color w:val="FF005C"/>
          <w:spacing w:val="60"/>
          <w:sz w:val="16"/>
          <w:szCs w:val="16"/>
        </w:rPr>
      </w:pPr>
    </w:p>
    <w:p w14:paraId="50B69FEE" w14:textId="77777777" w:rsidR="00DD7EC7" w:rsidRDefault="00DD7EC7">
      <w:pPr>
        <w:spacing w:before="240" w:after="80"/>
        <w:rPr>
          <w:b/>
          <w:bCs/>
          <w:color w:val="FF005C"/>
          <w:spacing w:val="60"/>
          <w:sz w:val="16"/>
          <w:szCs w:val="16"/>
        </w:rPr>
      </w:pPr>
    </w:p>
    <w:p w14:paraId="06CABBF9" w14:textId="77777777" w:rsidR="00DD7EC7" w:rsidRDefault="00DD7EC7">
      <w:pPr>
        <w:spacing w:before="240" w:after="80"/>
        <w:rPr>
          <w:b/>
          <w:bCs/>
          <w:color w:val="FF005C"/>
          <w:spacing w:val="60"/>
          <w:sz w:val="16"/>
          <w:szCs w:val="16"/>
        </w:rPr>
      </w:pPr>
    </w:p>
    <w:p w14:paraId="6C632B04" w14:textId="77777777" w:rsidR="00DD7EC7" w:rsidRDefault="00DD7EC7">
      <w:pPr>
        <w:spacing w:before="240" w:after="80"/>
        <w:rPr>
          <w:b/>
          <w:bCs/>
          <w:color w:val="FF005C"/>
          <w:spacing w:val="60"/>
          <w:sz w:val="16"/>
          <w:szCs w:val="16"/>
        </w:rPr>
      </w:pPr>
    </w:p>
    <w:p w14:paraId="559CC27D" w14:textId="77777777" w:rsidR="00DD7EC7" w:rsidRDefault="00DD7EC7">
      <w:pPr>
        <w:spacing w:before="240" w:after="80"/>
        <w:rPr>
          <w:b/>
          <w:bCs/>
          <w:color w:val="FF005C"/>
          <w:spacing w:val="60"/>
          <w:sz w:val="16"/>
          <w:szCs w:val="16"/>
        </w:rPr>
      </w:pPr>
    </w:p>
    <w:p w14:paraId="59BC1C3C" w14:textId="77777777" w:rsidR="00DD7EC7" w:rsidRDefault="00DD7EC7">
      <w:pPr>
        <w:spacing w:before="240" w:after="80"/>
        <w:rPr>
          <w:b/>
          <w:bCs/>
          <w:color w:val="FF005C"/>
          <w:spacing w:val="60"/>
          <w:sz w:val="16"/>
          <w:szCs w:val="16"/>
        </w:rPr>
      </w:pPr>
    </w:p>
    <w:p w14:paraId="6D392965" w14:textId="77777777" w:rsidR="00DD7EC7" w:rsidRDefault="00DD7EC7">
      <w:pPr>
        <w:spacing w:before="240" w:after="80"/>
        <w:rPr>
          <w:b/>
          <w:bCs/>
          <w:color w:val="FF005C"/>
          <w:spacing w:val="60"/>
          <w:sz w:val="16"/>
          <w:szCs w:val="16"/>
        </w:rPr>
      </w:pPr>
    </w:p>
    <w:p w14:paraId="2DCD6B9D" w14:textId="77777777" w:rsidR="00DD7EC7" w:rsidRDefault="00DD7EC7">
      <w:pPr>
        <w:spacing w:before="240" w:after="80"/>
        <w:rPr>
          <w:b/>
          <w:bCs/>
          <w:color w:val="FF005C"/>
          <w:spacing w:val="60"/>
          <w:sz w:val="16"/>
          <w:szCs w:val="16"/>
        </w:rPr>
      </w:pPr>
    </w:p>
    <w:p w14:paraId="4C89589D" w14:textId="77777777" w:rsidR="00DD7EC7" w:rsidRDefault="00DD7EC7">
      <w:pPr>
        <w:spacing w:before="240" w:after="80"/>
        <w:rPr>
          <w:b/>
          <w:bCs/>
          <w:color w:val="FF005C"/>
          <w:spacing w:val="60"/>
          <w:sz w:val="16"/>
          <w:szCs w:val="16"/>
        </w:rPr>
      </w:pPr>
    </w:p>
    <w:p w14:paraId="1EB235EC" w14:textId="3CA62294" w:rsidR="00787B30" w:rsidRDefault="00000000">
      <w:pPr>
        <w:spacing w:before="240" w:after="80"/>
      </w:pPr>
      <w:r>
        <w:rPr>
          <w:b/>
          <w:bCs/>
          <w:color w:val="FF005C"/>
          <w:spacing w:val="60"/>
          <w:sz w:val="16"/>
          <w:szCs w:val="16"/>
        </w:rPr>
        <w:lastRenderedPageBreak/>
        <w:t>PERGUNTA 06 · ASPECTOS PSICOPEDAGÓGICOS · IPP</w:t>
      </w:r>
    </w:p>
    <w:p w14:paraId="35CB61CC" w14:textId="77777777" w:rsidR="00787B30" w:rsidRDefault="00000000">
      <w:pPr>
        <w:pStyle w:val="Ttulo1"/>
      </w:pPr>
      <w:r>
        <w:t>As avaliações psicopedagógicas confirmam ou contradizem a defasagem do IAN?</w:t>
      </w:r>
    </w:p>
    <w:p w14:paraId="56739863" w14:textId="77777777" w:rsidR="00787B30" w:rsidRDefault="00000000">
      <w:pPr>
        <w:pStyle w:val="Ttulo2"/>
      </w:pPr>
      <w:r>
        <w:t>Distribuição do IPP e relação com IAN</w:t>
      </w:r>
    </w:p>
    <w:p w14:paraId="2BAA0088" w14:textId="77777777" w:rsidR="00787B30" w:rsidRDefault="00000000">
      <w:pPr>
        <w:spacing w:after="120" w:line="320" w:lineRule="auto"/>
        <w:jc w:val="both"/>
      </w:pPr>
      <w:r>
        <w:t>O IPP apresenta correlação fraca com INDE (0,238) e baixa correlação com o próprio IAN. Análise por pedra: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3086"/>
        <w:gridCol w:w="3111"/>
        <w:gridCol w:w="3113"/>
        <w:gridCol w:w="25"/>
      </w:tblGrid>
      <w:tr w:rsidR="00787B30" w14:paraId="5E640FA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330D5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Pedra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52389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IPP Médio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11589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IAN dominante</w:t>
            </w:r>
          </w:p>
        </w:tc>
      </w:tr>
      <w:tr w:rsidR="00787B30" w14:paraId="2FD9964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915D7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Quartzo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7BE56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6,38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DABEF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Severa (2,5)</w:t>
            </w:r>
          </w:p>
        </w:tc>
      </w:tr>
      <w:tr w:rsidR="00787B30" w14:paraId="088439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66926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Ágata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CA45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6,69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A10D3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Moderada (5)</w:t>
            </w:r>
          </w:p>
        </w:tc>
      </w:tr>
      <w:tr w:rsidR="00787B30" w14:paraId="3E95EDC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EF54F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Ametista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5C3A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7,08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06D81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Em Fase / Moderada</w:t>
            </w:r>
          </w:p>
        </w:tc>
      </w:tr>
      <w:tr w:rsidR="00787B30" w14:paraId="56ED744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F5471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Topázio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73D8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7,58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05304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Em Fase (10)</w:t>
            </w:r>
          </w:p>
        </w:tc>
      </w:tr>
      <w:tr w:rsidR="00787B30" w14:paraId="510A006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E5E7EB"/>
              <w:left w:val="single" w:sz="24" w:space="0" w:color="FF005C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93A27C" w14:textId="77777777" w:rsidR="00787B30" w:rsidRDefault="00000000">
            <w:pPr>
              <w:spacing w:after="80"/>
            </w:pPr>
            <w:r>
              <w:rPr>
                <w:b/>
                <w:bCs/>
                <w:color w:val="FF005C"/>
                <w:spacing w:val="60"/>
                <w:sz w:val="16"/>
                <w:szCs w:val="16"/>
              </w:rPr>
              <w:t>RESPOSTA</w:t>
            </w:r>
          </w:p>
          <w:p w14:paraId="30CD5A32" w14:textId="77777777" w:rsidR="00787B30" w:rsidRDefault="00000000">
            <w:pPr>
              <w:spacing w:line="300" w:lineRule="auto"/>
            </w:pPr>
            <w:r>
              <w:rPr>
                <w:color w:val="0A0E1A"/>
              </w:rPr>
              <w:t>O IPP confirma parcialmente a tendência do IAN — ambos sobem com as pedras superiores —, mas a amplitude do IPP (6,38 a 7,58) é muito menor que a do IAN. Isso indica que o IPP NÃO é um substituto do IAN para detectar defasagem severa: ele complementa, atuando mais como indicador de prontidão pedagógica do que como medida de adequação curricular. Ambos devem ser monitorados em paralelo.</w:t>
            </w:r>
          </w:p>
        </w:tc>
      </w:tr>
    </w:tbl>
    <w:p w14:paraId="07BEAA98" w14:textId="77777777" w:rsidR="00787B30" w:rsidRDefault="00000000">
      <w:r>
        <w:br w:type="page"/>
      </w:r>
    </w:p>
    <w:p w14:paraId="38A332A8" w14:textId="77777777" w:rsidR="00787B30" w:rsidRDefault="00000000">
      <w:pPr>
        <w:spacing w:before="240" w:after="80"/>
      </w:pPr>
      <w:r>
        <w:rPr>
          <w:b/>
          <w:bCs/>
          <w:color w:val="FF005C"/>
          <w:spacing w:val="60"/>
          <w:sz w:val="16"/>
          <w:szCs w:val="16"/>
        </w:rPr>
        <w:lastRenderedPageBreak/>
        <w:t>PERGUNTA 07 · PONTO DE VIRADA · IPV</w:t>
      </w:r>
    </w:p>
    <w:p w14:paraId="67DB1BAA" w14:textId="77777777" w:rsidR="00787B30" w:rsidRDefault="00000000">
      <w:pPr>
        <w:pStyle w:val="Ttulo1"/>
      </w:pPr>
      <w:r>
        <w:t>Quais comportamentos mais influenciam o IPV ao longo do tempo?</w:t>
      </w:r>
    </w:p>
    <w:p w14:paraId="5BC13148" w14:textId="77777777" w:rsidR="00787B30" w:rsidRDefault="00000000">
      <w:pPr>
        <w:pStyle w:val="Ttulo2"/>
      </w:pPr>
      <w:r>
        <w:t>Drivers do IPV</w:t>
      </w:r>
    </w:p>
    <w:p w14:paraId="1D8C7FE9" w14:textId="77777777" w:rsidR="00787B30" w:rsidRDefault="00000000">
      <w:pPr>
        <w:spacing w:after="120" w:line="320" w:lineRule="auto"/>
        <w:jc w:val="both"/>
      </w:pPr>
      <w:r>
        <w:t>Análise dos grupos PONTO_VIRADA = 1 (alunos que atingiram virada) vs. 0 (não atingiram):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87B30" w14:paraId="2F2BD7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3BE93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Indicador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2D855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Não-Virada (PV=0)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200EE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Virada (PV=1)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A924F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Δ</w:t>
            </w:r>
          </w:p>
        </w:tc>
      </w:tr>
      <w:tr w:rsidR="00787B30" w14:paraId="2A72B8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59FF6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IPV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66EE4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7,32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90875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9,14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62BFF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+1,82</w:t>
            </w:r>
          </w:p>
        </w:tc>
      </w:tr>
      <w:tr w:rsidR="00787B30" w14:paraId="5EDBCC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A5E41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IDA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E8D33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6,09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BB01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7,60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F8F5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+1,51</w:t>
            </w:r>
          </w:p>
        </w:tc>
      </w:tr>
      <w:tr w:rsidR="00787B30" w14:paraId="7D8E94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8DCC5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IEG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A39A5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7,81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2651B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9,04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D8185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+1,23</w:t>
            </w:r>
          </w:p>
        </w:tc>
      </w:tr>
      <w:tr w:rsidR="00787B30" w14:paraId="371C43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1BE0B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IPP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483B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6,78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EB809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7,92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70AF6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+1,14</w:t>
            </w:r>
          </w:p>
        </w:tc>
      </w:tr>
      <w:tr w:rsidR="00787B30" w14:paraId="5D4C5D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71E13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IAA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9B2BF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7,98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AF5D2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8,91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5481E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+0,93</w:t>
            </w:r>
          </w:p>
        </w:tc>
      </w:tr>
      <w:tr w:rsidR="00787B30" w14:paraId="0E3D9F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260DB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IPS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A9570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6,43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3C865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7,29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BBB50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+0,86</w:t>
            </w:r>
          </w:p>
        </w:tc>
      </w:tr>
    </w:tbl>
    <w:p w14:paraId="6D26E26A" w14:textId="77777777" w:rsidR="00787B30" w:rsidRDefault="00000000">
      <w:pPr>
        <w:pStyle w:val="Ttulo2"/>
      </w:pPr>
      <w:r>
        <w:t>Comportamentos mais influentes (em ordem de delta)</w:t>
      </w:r>
    </w:p>
    <w:p w14:paraId="07C8EFE7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IDA · Desempenho Acadêmico </w:t>
      </w:r>
      <w:r>
        <w:t>— maior gap (+1,51) · principal driver acadêmico</w:t>
      </w:r>
    </w:p>
    <w:p w14:paraId="42A819E7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IEG · Engajamento </w:t>
      </w:r>
      <w:r>
        <w:t>— segundo maior gap (+1,23) · principal driver comportamental</w:t>
      </w:r>
    </w:p>
    <w:p w14:paraId="45F69A78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IPP · Psicopedagógico </w:t>
      </w:r>
      <w:r>
        <w:t>— terceiro gap (+1,14) · prontidão pedagógica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7B30" w14:paraId="4968E0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5E7EB"/>
              <w:left w:val="single" w:sz="24" w:space="0" w:color="FF005C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90C87C" w14:textId="77777777" w:rsidR="00787B30" w:rsidRDefault="00000000">
            <w:pPr>
              <w:spacing w:after="80"/>
            </w:pPr>
            <w:r>
              <w:rPr>
                <w:b/>
                <w:bCs/>
                <w:color w:val="FF005C"/>
                <w:spacing w:val="60"/>
                <w:sz w:val="16"/>
                <w:szCs w:val="16"/>
              </w:rPr>
              <w:t>RESPOSTA</w:t>
            </w:r>
          </w:p>
          <w:p w14:paraId="6D67FD2F" w14:textId="77777777" w:rsidR="00787B30" w:rsidRDefault="00000000">
            <w:pPr>
              <w:spacing w:line="300" w:lineRule="auto"/>
            </w:pPr>
            <w:r>
              <w:rPr>
                <w:color w:val="0A0E1A"/>
              </w:rPr>
              <w:t xml:space="preserve">Os dois principais influenciadores do IPV são acadêmicos (IDA) e comportamentais (IEG), com magnitude similar. Componentes emocionais (IAA, IPS) têm influência </w:t>
            </w:r>
            <w:proofErr w:type="gramStart"/>
            <w:r>
              <w:rPr>
                <w:color w:val="0A0E1A"/>
              </w:rPr>
              <w:t>relevante</w:t>
            </w:r>
            <w:proofErr w:type="gramEnd"/>
            <w:r>
              <w:rPr>
                <w:color w:val="0A0E1A"/>
              </w:rPr>
              <w:t xml:space="preserve"> mas secundária. Política sugerida: para acelerar o ponto de virada, intervir prioritariamente em IDA e IEG simultaneamente — eles atuam de forma complementar.</w:t>
            </w:r>
          </w:p>
        </w:tc>
      </w:tr>
    </w:tbl>
    <w:p w14:paraId="57793BAE" w14:textId="77777777" w:rsidR="00787B30" w:rsidRDefault="00000000">
      <w:r>
        <w:br w:type="page"/>
      </w:r>
    </w:p>
    <w:p w14:paraId="60F3705B" w14:textId="77777777" w:rsidR="00787B30" w:rsidRDefault="00000000">
      <w:pPr>
        <w:spacing w:before="240" w:after="80"/>
      </w:pPr>
      <w:r>
        <w:rPr>
          <w:b/>
          <w:bCs/>
          <w:color w:val="FF005C"/>
          <w:spacing w:val="60"/>
          <w:sz w:val="16"/>
          <w:szCs w:val="16"/>
        </w:rPr>
        <w:lastRenderedPageBreak/>
        <w:t>PERGUNTA 08 · MULTIDIMENSIONALIDADE</w:t>
      </w:r>
    </w:p>
    <w:p w14:paraId="762A2D58" w14:textId="77777777" w:rsidR="00787B30" w:rsidRDefault="00000000">
      <w:pPr>
        <w:pStyle w:val="Ttulo1"/>
      </w:pPr>
      <w:r>
        <w:t>Quais combinações de indicadores elevam mais o INDE?</w:t>
      </w:r>
    </w:p>
    <w:p w14:paraId="4B1A8473" w14:textId="77777777" w:rsidR="00787B30" w:rsidRDefault="00000000">
      <w:pPr>
        <w:pStyle w:val="Ttulo2"/>
      </w:pPr>
      <w:r>
        <w:t>Modelo linear progressivo · R²</w:t>
      </w:r>
    </w:p>
    <w:p w14:paraId="535816CE" w14:textId="77777777" w:rsidR="00787B30" w:rsidRDefault="00000000">
      <w:pPr>
        <w:spacing w:after="120" w:line="320" w:lineRule="auto"/>
        <w:jc w:val="both"/>
      </w:pPr>
      <w:r>
        <w:t>Para isolar o ganho marginal de cada combinação, ajustamos regressões lineares progressivas com INDE como variável-resposta.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2307"/>
        <w:gridCol w:w="2334"/>
        <w:gridCol w:w="2335"/>
        <w:gridCol w:w="2334"/>
        <w:gridCol w:w="25"/>
      </w:tblGrid>
      <w:tr w:rsidR="00787B30" w14:paraId="08E54DB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34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FAD4E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Modelo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88CAF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Features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9FF72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R² (variância explicada)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9AB80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Ganho marginal</w:t>
            </w:r>
          </w:p>
        </w:tc>
      </w:tr>
      <w:tr w:rsidR="00787B30" w14:paraId="09ADEC0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34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2C423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B5313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IDA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ECA02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63,71%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87ADB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—</w:t>
            </w:r>
          </w:p>
        </w:tc>
      </w:tr>
      <w:tr w:rsidR="00787B30" w14:paraId="0C7447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34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421BA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ED955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IDA + IEG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42FA1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79,20%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3EB3C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+15,49 pp</w:t>
            </w:r>
          </w:p>
        </w:tc>
      </w:tr>
      <w:tr w:rsidR="00787B30" w14:paraId="12E450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34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90FD6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16000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IDA + IEG + IPV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CE958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83,07%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0ACD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+3,87 pp</w:t>
            </w:r>
          </w:p>
        </w:tc>
      </w:tr>
      <w:tr w:rsidR="00787B30" w14:paraId="368BC67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34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6DF3E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F385F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IDA + IEG + IPV + IAN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26F1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89,70%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D0313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+6,63 pp</w:t>
            </w:r>
          </w:p>
        </w:tc>
      </w:tr>
      <w:tr w:rsidR="00787B30" w14:paraId="3B00D36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5"/>
            <w:tcBorders>
              <w:top w:val="single" w:sz="4" w:space="0" w:color="E5E7EB"/>
              <w:left w:val="single" w:sz="24" w:space="0" w:color="FF005C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48D563" w14:textId="77777777" w:rsidR="00787B30" w:rsidRDefault="00000000">
            <w:pPr>
              <w:spacing w:after="80"/>
            </w:pPr>
            <w:r>
              <w:rPr>
                <w:b/>
                <w:bCs/>
                <w:color w:val="FF005C"/>
                <w:spacing w:val="60"/>
                <w:sz w:val="16"/>
                <w:szCs w:val="16"/>
              </w:rPr>
              <w:t>RESPOSTA</w:t>
            </w:r>
          </w:p>
          <w:p w14:paraId="242F05DE" w14:textId="77777777" w:rsidR="00787B30" w:rsidRDefault="00000000">
            <w:pPr>
              <w:spacing w:line="300" w:lineRule="auto"/>
            </w:pPr>
            <w:r>
              <w:rPr>
                <w:color w:val="0A0E1A"/>
              </w:rPr>
              <w:t xml:space="preserve">A combinação IDA + IEG sozinha já explica 79,2% do INDE — adicionar engajamento ao desempenho oferece o maior ganho marginal (+15,49 pp). Adicionar IPV e IAN eleva a explicabilidade para 89,7%. IDA e IEG são os dois indicadores mais alavancáveis para mover o INDE global do aluno; IPV e IAN têm valor incremental </w:t>
            </w:r>
            <w:proofErr w:type="gramStart"/>
            <w:r>
              <w:rPr>
                <w:color w:val="0A0E1A"/>
              </w:rPr>
              <w:t>relevante</w:t>
            </w:r>
            <w:proofErr w:type="gramEnd"/>
            <w:r>
              <w:rPr>
                <w:color w:val="0A0E1A"/>
              </w:rPr>
              <w:t xml:space="preserve"> mas secundário.</w:t>
            </w:r>
          </w:p>
        </w:tc>
      </w:tr>
    </w:tbl>
    <w:p w14:paraId="29BA7095" w14:textId="77777777" w:rsidR="00787B30" w:rsidRDefault="00000000">
      <w:r>
        <w:br w:type="page"/>
      </w:r>
    </w:p>
    <w:p w14:paraId="707DC204" w14:textId="77777777" w:rsidR="00787B30" w:rsidRDefault="00000000">
      <w:pPr>
        <w:spacing w:before="240" w:after="80"/>
      </w:pPr>
      <w:r>
        <w:rPr>
          <w:b/>
          <w:bCs/>
          <w:color w:val="FF005C"/>
          <w:spacing w:val="60"/>
          <w:sz w:val="16"/>
          <w:szCs w:val="16"/>
        </w:rPr>
        <w:lastRenderedPageBreak/>
        <w:t>PERGUNTA 09 · PREVISÃO DE RISCO COM MACHINE LEARNING</w:t>
      </w:r>
    </w:p>
    <w:p w14:paraId="23891502" w14:textId="77777777" w:rsidR="00787B30" w:rsidRDefault="00000000">
      <w:pPr>
        <w:pStyle w:val="Ttulo1"/>
      </w:pPr>
      <w:r>
        <w:t>Construção do modelo preditivo de risco de defasagem</w:t>
      </w:r>
    </w:p>
    <w:p w14:paraId="5CF7A373" w14:textId="77777777" w:rsidR="00787B30" w:rsidRDefault="00000000">
      <w:pPr>
        <w:pStyle w:val="Ttulo2"/>
      </w:pPr>
      <w:r>
        <w:t xml:space="preserve">Feature </w:t>
      </w:r>
      <w:proofErr w:type="spellStart"/>
      <w:r>
        <w:t>engineering</w:t>
      </w:r>
      <w:proofErr w:type="spellEnd"/>
    </w:p>
    <w:p w14:paraId="234655AF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Variável-alvo: TARGET = 1 se IAN &lt; 5 no ano corrente (defasagem moderada ou severa).</w:t>
      </w:r>
    </w:p>
    <w:p w14:paraId="5C51EB6C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IAN_LAG: valor do IAN no ano anterior — capturado como feature autorregressiva.</w:t>
      </w:r>
    </w:p>
    <w:p w14:paraId="4DC167B3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Features utilizadas: IAN_LAG, IEG, IDA, IPS, IPP, IPV (6 variáveis).</w:t>
      </w:r>
    </w:p>
    <w:p w14:paraId="0FB41339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Split treino/teste: 70/30 estratificado por TARGET (882 amostras de teste · 169 positivos).</w:t>
      </w:r>
    </w:p>
    <w:p w14:paraId="0A523958" w14:textId="77777777" w:rsidR="00787B30" w:rsidRDefault="00000000">
      <w:pPr>
        <w:pStyle w:val="Ttulo2"/>
      </w:pPr>
      <w:r>
        <w:t>Modelos avaliados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87B30" w14:paraId="071D33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E8AF6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Modelo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5B65E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ROC AUC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1F411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Recall (classe 1)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CE154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F1</w:t>
            </w:r>
          </w:p>
        </w:tc>
      </w:tr>
      <w:tr w:rsidR="00787B30" w14:paraId="6F7CAE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7C363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Regressão Logística (baseline)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F6F94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0,856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84699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67%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94083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0,58</w:t>
            </w:r>
          </w:p>
        </w:tc>
      </w:tr>
      <w:tr w:rsidR="00787B30" w14:paraId="03BAFA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C525D" w14:textId="77777777" w:rsidR="00787B30" w:rsidRDefault="00000000">
            <w:proofErr w:type="spellStart"/>
            <w:r>
              <w:rPr>
                <w:b/>
                <w:bCs/>
                <w:color w:val="0A0E1A"/>
                <w:sz w:val="20"/>
                <w:szCs w:val="20"/>
              </w:rPr>
              <w:t>XGBoost</w:t>
            </w:r>
            <w:proofErr w:type="spellEnd"/>
            <w:r>
              <w:rPr>
                <w:b/>
                <w:bCs/>
                <w:color w:val="0A0E1A"/>
                <w:sz w:val="20"/>
                <w:szCs w:val="20"/>
              </w:rPr>
              <w:t xml:space="preserve"> padrão (</w:t>
            </w:r>
            <w:proofErr w:type="spellStart"/>
            <w:r>
              <w:rPr>
                <w:b/>
                <w:bCs/>
                <w:color w:val="0A0E1A"/>
                <w:sz w:val="20"/>
                <w:szCs w:val="20"/>
              </w:rPr>
              <w:t>threshold</w:t>
            </w:r>
            <w:proofErr w:type="spellEnd"/>
            <w:r>
              <w:rPr>
                <w:b/>
                <w:bCs/>
                <w:color w:val="0A0E1A"/>
                <w:sz w:val="20"/>
                <w:szCs w:val="20"/>
              </w:rPr>
              <w:t xml:space="preserve"> 0,35)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06EC3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0,850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5F26C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60%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2134B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0,57</w:t>
            </w:r>
          </w:p>
        </w:tc>
      </w:tr>
      <w:tr w:rsidR="00787B30" w14:paraId="27733A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72AA6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Random Forest tunado (</w:t>
            </w:r>
            <w:proofErr w:type="spellStart"/>
            <w:r>
              <w:rPr>
                <w:b/>
                <w:bCs/>
                <w:color w:val="0A0E1A"/>
                <w:sz w:val="20"/>
                <w:szCs w:val="20"/>
              </w:rPr>
              <w:t>Optuna</w:t>
            </w:r>
            <w:proofErr w:type="spellEnd"/>
            <w:r>
              <w:rPr>
                <w:b/>
                <w:bCs/>
                <w:color w:val="0A0E1A"/>
                <w:sz w:val="20"/>
                <w:szCs w:val="20"/>
              </w:rPr>
              <w:t xml:space="preserve"> · 50 </w:t>
            </w:r>
            <w:proofErr w:type="spellStart"/>
            <w:r>
              <w:rPr>
                <w:b/>
                <w:bCs/>
                <w:color w:val="0A0E1A"/>
                <w:sz w:val="20"/>
                <w:szCs w:val="20"/>
              </w:rPr>
              <w:t>trials</w:t>
            </w:r>
            <w:proofErr w:type="spellEnd"/>
            <w:r>
              <w:rPr>
                <w:b/>
                <w:bCs/>
                <w:color w:val="0A0E1A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BF40E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0,853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E7715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45%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B2ABB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0,48</w:t>
            </w:r>
          </w:p>
        </w:tc>
      </w:tr>
      <w:tr w:rsidR="00787B30" w14:paraId="35BF9D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5300F" w14:textId="77777777" w:rsidR="00787B30" w:rsidRDefault="00000000">
            <w:proofErr w:type="spellStart"/>
            <w:r>
              <w:rPr>
                <w:b/>
                <w:bCs/>
                <w:color w:val="0A0E1A"/>
                <w:sz w:val="20"/>
                <w:szCs w:val="20"/>
              </w:rPr>
              <w:t>XGBoost</w:t>
            </w:r>
            <w:proofErr w:type="spellEnd"/>
            <w:r>
              <w:rPr>
                <w:b/>
                <w:bCs/>
                <w:color w:val="0A0E1A"/>
                <w:sz w:val="20"/>
                <w:szCs w:val="20"/>
              </w:rPr>
              <w:t xml:space="preserve"> tunado (</w:t>
            </w:r>
            <w:proofErr w:type="spellStart"/>
            <w:r>
              <w:rPr>
                <w:b/>
                <w:bCs/>
                <w:color w:val="0A0E1A"/>
                <w:sz w:val="20"/>
                <w:szCs w:val="20"/>
              </w:rPr>
              <w:t>Optuna</w:t>
            </w:r>
            <w:proofErr w:type="spellEnd"/>
            <w:r>
              <w:rPr>
                <w:b/>
                <w:bCs/>
                <w:color w:val="0A0E1A"/>
                <w:sz w:val="20"/>
                <w:szCs w:val="20"/>
              </w:rPr>
              <w:t xml:space="preserve"> · 50 </w:t>
            </w:r>
            <w:proofErr w:type="spellStart"/>
            <w:r>
              <w:rPr>
                <w:b/>
                <w:bCs/>
                <w:color w:val="0A0E1A"/>
                <w:sz w:val="20"/>
                <w:szCs w:val="20"/>
              </w:rPr>
              <w:t>trials</w:t>
            </w:r>
            <w:proofErr w:type="spellEnd"/>
            <w:r>
              <w:rPr>
                <w:b/>
                <w:bCs/>
                <w:color w:val="0A0E1A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1555E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0,855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4A72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46%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E53BF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0,48</w:t>
            </w:r>
          </w:p>
        </w:tc>
      </w:tr>
      <w:tr w:rsidR="00787B30" w14:paraId="4C787A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B2767" w14:textId="77777777" w:rsidR="00787B30" w:rsidRDefault="00000000">
            <w:proofErr w:type="spellStart"/>
            <w:r>
              <w:rPr>
                <w:b/>
                <w:bCs/>
                <w:color w:val="0A0E1A"/>
                <w:sz w:val="20"/>
                <w:szCs w:val="20"/>
              </w:rPr>
              <w:t>XGBoost</w:t>
            </w:r>
            <w:proofErr w:type="spellEnd"/>
            <w:r>
              <w:rPr>
                <w:b/>
                <w:bCs/>
                <w:color w:val="0A0E1A"/>
                <w:sz w:val="20"/>
                <w:szCs w:val="20"/>
              </w:rPr>
              <w:t xml:space="preserve"> tunado + </w:t>
            </w:r>
            <w:proofErr w:type="spellStart"/>
            <w:r>
              <w:rPr>
                <w:b/>
                <w:bCs/>
                <w:color w:val="0A0E1A"/>
                <w:sz w:val="20"/>
                <w:szCs w:val="20"/>
              </w:rPr>
              <w:t>scale_pos_weight</w:t>
            </w:r>
            <w:proofErr w:type="spellEnd"/>
            <w:r>
              <w:rPr>
                <w:b/>
                <w:bCs/>
                <w:color w:val="0A0E1A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0A0E1A"/>
                <w:sz w:val="20"/>
                <w:szCs w:val="20"/>
              </w:rPr>
              <w:t>threshold</w:t>
            </w:r>
            <w:proofErr w:type="spellEnd"/>
            <w:r>
              <w:rPr>
                <w:b/>
                <w:bCs/>
                <w:color w:val="0A0E1A"/>
                <w:sz w:val="20"/>
                <w:szCs w:val="20"/>
              </w:rPr>
              <w:t xml:space="preserve"> 0,3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3485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0,855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B656E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91,1%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F2AC4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0,62</w:t>
            </w:r>
          </w:p>
        </w:tc>
      </w:tr>
    </w:tbl>
    <w:p w14:paraId="44EFC859" w14:textId="77777777" w:rsidR="00787B30" w:rsidRDefault="00000000">
      <w:pPr>
        <w:pStyle w:val="Ttulo2"/>
      </w:pPr>
      <w:r>
        <w:t>Modelo final · configuração</w:t>
      </w:r>
    </w:p>
    <w:p w14:paraId="3DE5E6EF" w14:textId="77777777" w:rsidR="00787B30" w:rsidRDefault="00000000">
      <w:pPr>
        <w:spacing w:after="120" w:line="320" w:lineRule="auto"/>
        <w:jc w:val="both"/>
      </w:pPr>
      <w:proofErr w:type="spellStart"/>
      <w:r>
        <w:t>XGBoostClassifier</w:t>
      </w:r>
      <w:proofErr w:type="spellEnd"/>
      <w:r>
        <w:t xml:space="preserve"> com </w:t>
      </w:r>
      <w:proofErr w:type="spellStart"/>
      <w:r>
        <w:t>hiperparâmetros</w:t>
      </w:r>
      <w:proofErr w:type="spellEnd"/>
      <w:r>
        <w:t xml:space="preserve"> otimizados via </w:t>
      </w:r>
      <w:proofErr w:type="spellStart"/>
      <w:r>
        <w:t>Optuna</w:t>
      </w:r>
      <w:proofErr w:type="spellEnd"/>
      <w:r>
        <w:t xml:space="preserve"> (50 </w:t>
      </w:r>
      <w:proofErr w:type="spellStart"/>
      <w:r>
        <w:t>trials</w:t>
      </w:r>
      <w:proofErr w:type="spellEnd"/>
      <w:r>
        <w:t xml:space="preserve"> maximizando F1), combinado com </w:t>
      </w:r>
      <w:proofErr w:type="spellStart"/>
      <w:r>
        <w:t>scale_pos_weight</w:t>
      </w:r>
      <w:proofErr w:type="spellEnd"/>
      <w:r>
        <w:t xml:space="preserve"> para compensar desbalanceamento de classes e </w:t>
      </w:r>
      <w:proofErr w:type="spellStart"/>
      <w:r>
        <w:t>threshold</w:t>
      </w:r>
      <w:proofErr w:type="spellEnd"/>
      <w:r>
        <w:t xml:space="preserve"> de decisão reduzido para 0,3.</w:t>
      </w:r>
    </w:p>
    <w:p w14:paraId="0134A5F0" w14:textId="77777777" w:rsidR="00C5096B" w:rsidRDefault="00C5096B">
      <w:pPr>
        <w:spacing w:after="120" w:line="320" w:lineRule="auto"/>
        <w:jc w:val="both"/>
      </w:pPr>
    </w:p>
    <w:p w14:paraId="20563903" w14:textId="77777777" w:rsidR="00C5096B" w:rsidRDefault="00C5096B">
      <w:pPr>
        <w:spacing w:after="120" w:line="320" w:lineRule="auto"/>
        <w:jc w:val="both"/>
      </w:pPr>
    </w:p>
    <w:p w14:paraId="75F0545C" w14:textId="77777777" w:rsidR="00C5096B" w:rsidRDefault="00C5096B">
      <w:pPr>
        <w:spacing w:after="120" w:line="320" w:lineRule="auto"/>
        <w:jc w:val="both"/>
      </w:pPr>
    </w:p>
    <w:p w14:paraId="37D9282E" w14:textId="77777777" w:rsidR="00787B30" w:rsidRDefault="00000000">
      <w:pPr>
        <w:pStyle w:val="Ttulo2"/>
      </w:pPr>
      <w:r>
        <w:lastRenderedPageBreak/>
        <w:t>Métricas finais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3086"/>
        <w:gridCol w:w="3110"/>
        <w:gridCol w:w="3114"/>
        <w:gridCol w:w="25"/>
      </w:tblGrid>
      <w:tr w:rsidR="00787B30" w14:paraId="467EE24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73FE2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Métrica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A8C67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Valor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93A4F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Interpretação</w:t>
            </w:r>
          </w:p>
        </w:tc>
      </w:tr>
      <w:tr w:rsidR="00787B30" w14:paraId="3207AC0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CC30D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Recall (classe em risco)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36EB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91,1%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C1828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De cada 10 alunos em risco, modelo identifica 9</w:t>
            </w:r>
          </w:p>
        </w:tc>
      </w:tr>
      <w:tr w:rsidR="00787B30" w14:paraId="34D3942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F0E76" w14:textId="77777777" w:rsidR="00787B30" w:rsidRDefault="00000000">
            <w:proofErr w:type="spellStart"/>
            <w:r>
              <w:rPr>
                <w:b/>
                <w:bCs/>
                <w:color w:val="0A0E1A"/>
                <w:sz w:val="20"/>
                <w:szCs w:val="20"/>
              </w:rPr>
              <w:t>Precision</w:t>
            </w:r>
            <w:proofErr w:type="spellEnd"/>
            <w:r>
              <w:rPr>
                <w:b/>
                <w:bCs/>
                <w:color w:val="0A0E1A"/>
                <w:sz w:val="20"/>
                <w:szCs w:val="20"/>
              </w:rPr>
              <w:t xml:space="preserve"> (classe em risco)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AAC1F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46,7%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9E06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Trade-off deliberado por sensibilidade</w:t>
            </w:r>
          </w:p>
        </w:tc>
      </w:tr>
      <w:tr w:rsidR="00787B30" w14:paraId="2DF019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7A55D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F1-Score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FAAA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0,617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31958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Balanço entre precisão e cobertura</w:t>
            </w:r>
          </w:p>
        </w:tc>
      </w:tr>
      <w:tr w:rsidR="00787B30" w14:paraId="2B1020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A2589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ROC AUC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ED9B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0,855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39036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Capacidade discriminativa robusta</w:t>
            </w:r>
          </w:p>
        </w:tc>
      </w:tr>
      <w:tr w:rsidR="00787B30" w14:paraId="63802DF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120" w:type="dxa"/>
            <w:gridSpan w:val="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3CFB1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Acurácia global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39085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78%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C024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Indicador secundário · classe minoritária</w:t>
            </w:r>
          </w:p>
        </w:tc>
      </w:tr>
      <w:tr w:rsidR="00787B30" w14:paraId="3C36779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E5E7EB"/>
              <w:left w:val="single" w:sz="24" w:space="0" w:color="FF005C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704435" w14:textId="77777777" w:rsidR="00787B30" w:rsidRDefault="00000000">
            <w:pPr>
              <w:spacing w:after="80"/>
            </w:pPr>
            <w:r>
              <w:rPr>
                <w:b/>
                <w:bCs/>
                <w:color w:val="FF005C"/>
                <w:spacing w:val="60"/>
                <w:sz w:val="16"/>
                <w:szCs w:val="16"/>
              </w:rPr>
              <w:t>FILOSOFIA DE CALIBRAÇÃO</w:t>
            </w:r>
          </w:p>
          <w:p w14:paraId="38F5792D" w14:textId="77777777" w:rsidR="00787B30" w:rsidRDefault="00000000">
            <w:pPr>
              <w:spacing w:line="300" w:lineRule="auto"/>
            </w:pPr>
            <w:r>
              <w:rPr>
                <w:color w:val="0A0E1A"/>
              </w:rPr>
              <w:t>Em contexto educacional, o custo de não identificar um aluno em risco supera amplamente o custo de uma falsa intervenção. Por isso o modelo foi calibrado para priorizar recall: é melhor intervir desnecessariamente do que omitir uma intervenção necessária.</w:t>
            </w:r>
          </w:p>
        </w:tc>
      </w:tr>
    </w:tbl>
    <w:p w14:paraId="1097615C" w14:textId="77777777" w:rsidR="00787B30" w:rsidRDefault="00000000">
      <w:pPr>
        <w:pStyle w:val="Ttulo2"/>
      </w:pPr>
      <w:r>
        <w:t xml:space="preserve">Explicabilidade · SHAP </w:t>
      </w:r>
      <w:proofErr w:type="spellStart"/>
      <w:r>
        <w:t>TreeExplainer</w:t>
      </w:r>
      <w:proofErr w:type="spellEnd"/>
    </w:p>
    <w:p w14:paraId="1A7EB70E" w14:textId="77777777" w:rsidR="00787B30" w:rsidRDefault="00000000">
      <w:pPr>
        <w:spacing w:after="120" w:line="320" w:lineRule="auto"/>
        <w:jc w:val="both"/>
      </w:pPr>
      <w:r>
        <w:t>Análise SHAP sobre o conjunto de teste identifica a ordem global de importância das features:</w:t>
      </w:r>
    </w:p>
    <w:p w14:paraId="0A414325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IAN_LAG — histórico de defasagem (preditor mais forte)</w:t>
      </w:r>
    </w:p>
    <w:p w14:paraId="04B9989E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IDA — desempenho acadêmico atual</w:t>
      </w:r>
    </w:p>
    <w:p w14:paraId="5F20A563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IPV — ponto de virada (inflexão de trajetória)</w:t>
      </w:r>
    </w:p>
    <w:p w14:paraId="0275A574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IEG — engajamento (sinal antecipatório)</w:t>
      </w:r>
    </w:p>
    <w:p w14:paraId="7659087D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IPS, IPP — complementares, valor preditivo via cluster</w:t>
      </w:r>
    </w:p>
    <w:p w14:paraId="50A789D7" w14:textId="77777777" w:rsidR="00787B30" w:rsidRDefault="00000000">
      <w:pPr>
        <w:pStyle w:val="Ttulo2"/>
      </w:pPr>
      <w:r>
        <w:t xml:space="preserve">Segmentação por perfil · </w:t>
      </w:r>
      <w:proofErr w:type="spellStart"/>
      <w:r>
        <w:t>KMeans</w:t>
      </w:r>
      <w:proofErr w:type="spellEnd"/>
    </w:p>
    <w:p w14:paraId="465FD333" w14:textId="77777777" w:rsidR="00787B30" w:rsidRDefault="00000000">
      <w:pPr>
        <w:spacing w:after="120" w:line="320" w:lineRule="auto"/>
        <w:jc w:val="both"/>
      </w:pPr>
      <w:r>
        <w:t xml:space="preserve">Análise complementar com </w:t>
      </w:r>
      <w:proofErr w:type="spellStart"/>
      <w:r>
        <w:t>KMeans</w:t>
      </w:r>
      <w:proofErr w:type="spellEnd"/>
      <w:r>
        <w:t xml:space="preserve"> (k=4) sobre features padronizadas identifica 4 perfis comportamentais distintos: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87B30" w14:paraId="4C7299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61A0D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Cluster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24C59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Perfil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7D430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Alunos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417D1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Característica</w:t>
            </w:r>
          </w:p>
        </w:tc>
      </w:tr>
      <w:tr w:rsidR="00787B30" w14:paraId="71090A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2FE06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820FE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Deterioração gradual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690EE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401 · 45%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2E070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Queda progressiva em múltiplos indicadores</w:t>
            </w:r>
          </w:p>
        </w:tc>
      </w:tr>
      <w:tr w:rsidR="00787B30" w14:paraId="7999B5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C189F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94A0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Risco estrutural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9C636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64 · 7%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5E408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Baixo desempenho crônico, sem episódios de melhora</w:t>
            </w:r>
          </w:p>
        </w:tc>
      </w:tr>
      <w:tr w:rsidR="00787B30" w14:paraId="319E14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C9C12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lastRenderedPageBreak/>
              <w:t>2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C1D6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Falha de aprendizado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0E178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198 · 22%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6858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IEG alto + IDA baixo · barreira psicossocial (IPS 3,64)</w:t>
            </w:r>
          </w:p>
        </w:tc>
      </w:tr>
      <w:tr w:rsidR="00787B30" w14:paraId="1E0B6A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B53D6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BECE4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Queda recente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BD0D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219 · 25%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815D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Deterioração aguda após estabilidade · atenção imediata</w:t>
            </w:r>
          </w:p>
        </w:tc>
      </w:tr>
    </w:tbl>
    <w:p w14:paraId="2DFD5B1B" w14:textId="4C195880" w:rsidR="00787B30" w:rsidRDefault="00787B30"/>
    <w:p w14:paraId="6B9CEA74" w14:textId="77777777" w:rsidR="00787B30" w:rsidRDefault="00000000">
      <w:pPr>
        <w:spacing w:before="240" w:after="80"/>
      </w:pPr>
      <w:r>
        <w:rPr>
          <w:b/>
          <w:bCs/>
          <w:color w:val="FF005C"/>
          <w:spacing w:val="60"/>
          <w:sz w:val="16"/>
          <w:szCs w:val="16"/>
        </w:rPr>
        <w:t>PERGUNTA 10 · EFETIVIDADE DO PROGRAMA</w:t>
      </w:r>
    </w:p>
    <w:p w14:paraId="7DDB6790" w14:textId="77777777" w:rsidR="00787B30" w:rsidRDefault="00000000">
      <w:pPr>
        <w:pStyle w:val="Ttulo1"/>
      </w:pPr>
      <w:r>
        <w:t>Os indicadores confirmam o impacto do programa nas 4 fases?</w:t>
      </w:r>
    </w:p>
    <w:p w14:paraId="6520F03A" w14:textId="77777777" w:rsidR="00787B30" w:rsidRDefault="00000000">
      <w:pPr>
        <w:pStyle w:val="Ttulo2"/>
      </w:pPr>
      <w:r>
        <w:t>Indicadores médios por pedra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87B30" w14:paraId="17F03C21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CD715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Pedra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41DB0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INDE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3D9B5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IDA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3B677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IEG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BD889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IPV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EC96C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IPS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22347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IPP</w:t>
            </w:r>
          </w:p>
        </w:tc>
      </w:tr>
      <w:tr w:rsidR="00787B30" w14:paraId="66276C5D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F6F96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Quartzo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8D722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5,18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2271E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2,90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375CC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4,91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B1364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5,92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3959B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5,91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F3095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6,38</w:t>
            </w:r>
          </w:p>
        </w:tc>
      </w:tr>
      <w:tr w:rsidR="00787B30" w14:paraId="0D3C1F3C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51A62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Ágata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1D8F9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6,57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DAB3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5,20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E1FE4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7,20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A4F89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6,95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A0F37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6,23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67FA9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6,69</w:t>
            </w:r>
          </w:p>
        </w:tc>
      </w:tr>
      <w:tr w:rsidR="00787B30" w14:paraId="1034CA62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6F40C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Ametista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D537E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7,60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8C82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6,91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3C05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8,58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75FB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7,76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0B918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6,59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9829F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7,08</w:t>
            </w:r>
          </w:p>
        </w:tc>
      </w:tr>
      <w:tr w:rsidR="00787B30" w14:paraId="5D02D5BB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4C30E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Topázio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BC56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8,50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1E288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8,20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C3FAB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9,40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348CD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8,48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CDDD4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7,02</w:t>
            </w:r>
          </w:p>
        </w:tc>
        <w:tc>
          <w:tcPr>
            <w:tcW w:w="13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6E383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7,58</w:t>
            </w:r>
          </w:p>
        </w:tc>
      </w:tr>
    </w:tbl>
    <w:p w14:paraId="50CE492A" w14:textId="77777777" w:rsidR="00787B30" w:rsidRDefault="00000000">
      <w:pPr>
        <w:spacing w:after="120" w:line="320" w:lineRule="auto"/>
        <w:jc w:val="both"/>
      </w:pPr>
      <w:r>
        <w:t>A progressão Quartzo → Topázio mostra crescimento monotônico em TODOS os indicadores avaliados — evidência forte de que o programa estabelece um gradiente real de evolução. O maior salto está no IDA (de 2,90 para 8,20, +183%) e no IEG (de 4,91 para 9,40, +91%).</w:t>
      </w:r>
    </w:p>
    <w:p w14:paraId="14D9AF1F" w14:textId="77777777" w:rsidR="00787B30" w:rsidRDefault="00000000">
      <w:pPr>
        <w:pStyle w:val="Ttulo2"/>
      </w:pPr>
      <w:r>
        <w:t>Efeito BOLSISTA vs. não-bolsista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87B30" w14:paraId="10B43F0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FEA16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Grupo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4462E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INDE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513AD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IDA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099D5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IEG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0E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A4CE1" w14:textId="77777777" w:rsidR="00787B30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IPV</w:t>
            </w:r>
          </w:p>
        </w:tc>
      </w:tr>
      <w:tr w:rsidR="00787B30" w14:paraId="5CD8FFD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31A4D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Não-Bolsista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4FA9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7,18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EBEE2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6,18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DD53F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7,90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A9026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7,43</w:t>
            </w:r>
          </w:p>
        </w:tc>
      </w:tr>
      <w:tr w:rsidR="00787B30" w14:paraId="3F6BE59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B7C4D" w14:textId="77777777" w:rsidR="00787B30" w:rsidRDefault="00000000">
            <w:r>
              <w:rPr>
                <w:b/>
                <w:bCs/>
                <w:color w:val="0A0E1A"/>
                <w:sz w:val="20"/>
                <w:szCs w:val="20"/>
              </w:rPr>
              <w:t>Bolsista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C5B5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7,88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9938A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7,22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DFB1B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7,93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74340" w14:textId="77777777" w:rsidR="00787B30" w:rsidRDefault="00000000">
            <w:pPr>
              <w:jc w:val="right"/>
            </w:pPr>
            <w:r>
              <w:rPr>
                <w:color w:val="0A0E1A"/>
                <w:sz w:val="20"/>
                <w:szCs w:val="20"/>
              </w:rPr>
              <w:t>8,40</w:t>
            </w:r>
          </w:p>
        </w:tc>
      </w:tr>
    </w:tbl>
    <w:p w14:paraId="29547913" w14:textId="77777777" w:rsidR="00787B30" w:rsidRDefault="00000000">
      <w:pPr>
        <w:spacing w:after="120" w:line="320" w:lineRule="auto"/>
        <w:jc w:val="both"/>
      </w:pPr>
      <w:r>
        <w:t>Alunos bolsistas apresentam INDE +0,70 pontos acima dos não-bolsistas (+9,7%). O maior diferencial está no IPV (+13%) e IDA (+17%) — indicando que o suporte adicional acelera o ponto de virada e o desempenho acadêmico.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7B30" w14:paraId="2EBF61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5E7EB"/>
              <w:left w:val="single" w:sz="24" w:space="0" w:color="FF005C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B59ADB" w14:textId="77777777" w:rsidR="00787B30" w:rsidRDefault="00000000">
            <w:pPr>
              <w:spacing w:after="80"/>
            </w:pPr>
            <w:r>
              <w:rPr>
                <w:b/>
                <w:bCs/>
                <w:color w:val="FF005C"/>
                <w:spacing w:val="60"/>
                <w:sz w:val="16"/>
                <w:szCs w:val="16"/>
              </w:rPr>
              <w:t>RESPOSTA</w:t>
            </w:r>
          </w:p>
          <w:p w14:paraId="5A028BF0" w14:textId="77777777" w:rsidR="00787B30" w:rsidRDefault="00000000">
            <w:pPr>
              <w:spacing w:line="300" w:lineRule="auto"/>
            </w:pPr>
            <w:r>
              <w:rPr>
                <w:color w:val="0A0E1A"/>
              </w:rPr>
              <w:t xml:space="preserve">Sim, os indicadores confirmam o impacto do programa. A progressão monotônica entre as pedras evidencia gradiente real de desenvolvimento; a comparação bolsista vs. não-bolsista mostra que o suporte intensivo amplifica resultados em +9,7% no INDE global. Porém, a evolução temporal por pedra entre 2020 e 2024 é estável (não crescente) — o </w:t>
            </w:r>
            <w:r>
              <w:rPr>
                <w:color w:val="0A0E1A"/>
              </w:rPr>
              <w:lastRenderedPageBreak/>
              <w:t>impacto é estrutural mais que cinético. O programa eleva o piso, ainda não acelera trajetórias individuais.</w:t>
            </w:r>
          </w:p>
        </w:tc>
      </w:tr>
    </w:tbl>
    <w:p w14:paraId="7F1A0F6F" w14:textId="77777777" w:rsidR="00787B30" w:rsidRDefault="00000000">
      <w:r>
        <w:lastRenderedPageBreak/>
        <w:br w:type="page"/>
      </w:r>
    </w:p>
    <w:p w14:paraId="25CEFF5A" w14:textId="77777777" w:rsidR="00787B30" w:rsidRDefault="00000000">
      <w:pPr>
        <w:spacing w:before="240" w:after="80"/>
      </w:pPr>
      <w:r>
        <w:rPr>
          <w:b/>
          <w:bCs/>
          <w:color w:val="FF005C"/>
          <w:spacing w:val="60"/>
          <w:sz w:val="16"/>
          <w:szCs w:val="16"/>
        </w:rPr>
        <w:lastRenderedPageBreak/>
        <w:t>PERGUNTA 11 · INSIGHTS E SUGESTÕES</w:t>
      </w:r>
    </w:p>
    <w:p w14:paraId="1126D413" w14:textId="77777777" w:rsidR="00787B30" w:rsidRDefault="00000000">
      <w:pPr>
        <w:pStyle w:val="Ttulo1"/>
      </w:pPr>
      <w:r>
        <w:t>Insights adicionais e recomendações estratégicas</w:t>
      </w:r>
    </w:p>
    <w:p w14:paraId="19A28F1B" w14:textId="77777777" w:rsidR="00787B30" w:rsidRDefault="00000000">
      <w:pPr>
        <w:pStyle w:val="Ttulo2"/>
      </w:pPr>
      <w:r>
        <w:t>Insight 01 · Inflação de autoavaliação correlacionada com pedra</w:t>
      </w:r>
    </w:p>
    <w:p w14:paraId="0C58CD1D" w14:textId="77777777" w:rsidR="00787B30" w:rsidRDefault="00000000">
      <w:pPr>
        <w:spacing w:after="120" w:line="320" w:lineRule="auto"/>
        <w:jc w:val="both"/>
      </w:pPr>
      <w:r>
        <w:t>O gap IAA − IDA é estatisticamente decrescente conforme avança a pedra: +3,64 em Quartzo, apenas +0,36 em Topázio. Alunos em risco têm autopercepção desconectada da realidade — barreira para adesão a planos de recuperação.</w:t>
      </w:r>
    </w:p>
    <w:p w14:paraId="45C17DE5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Recomendação: incluir devolutiva calibrada de autoavaliação no acompanhamento, com comparativos diretos entre IAA percebido e IDA real.</w:t>
      </w:r>
    </w:p>
    <w:p w14:paraId="2B07820D" w14:textId="77777777" w:rsidR="00787B30" w:rsidRDefault="00000000">
      <w:pPr>
        <w:pStyle w:val="Ttulo2"/>
      </w:pPr>
      <w:r>
        <w:t>Insight 02 · IPS é o limitador silencioso da "Falha de Aprendizado"</w:t>
      </w:r>
    </w:p>
    <w:p w14:paraId="5A14E79D" w14:textId="77777777" w:rsidR="00787B30" w:rsidRDefault="00000000">
      <w:pPr>
        <w:spacing w:after="120" w:line="320" w:lineRule="auto"/>
        <w:jc w:val="both"/>
      </w:pPr>
      <w:r>
        <w:t>O Cluster 2 (Falha de Aprendizado) representa 22% da base — alunos altamente engajados (IEG 8,69) mas com desempenho abaixo do esperado (IDA 6,65). O fator distintivo é IPS = 3,64 (metade da média geral). O componente psicossocial atua como gargalo invisível para conversão de esforço em aprendizado.</w:t>
      </w:r>
    </w:p>
    <w:p w14:paraId="6F066965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Recomendação: priorizar avaliação psicossocial precoce em alunos com discrepância IEG-alto / IDA-baixo. Esse contingente é o de maior ROI de intervenção.</w:t>
      </w:r>
    </w:p>
    <w:p w14:paraId="64062F17" w14:textId="77777777" w:rsidR="00787B30" w:rsidRDefault="00000000">
      <w:pPr>
        <w:pStyle w:val="Ttulo2"/>
      </w:pPr>
      <w:r>
        <w:t>Insight 03 · IAN_LAG · histórico predomina sobre presente</w:t>
      </w:r>
    </w:p>
    <w:p w14:paraId="5C4978AB" w14:textId="77777777" w:rsidR="00787B30" w:rsidRDefault="00000000">
      <w:pPr>
        <w:spacing w:after="120" w:line="320" w:lineRule="auto"/>
        <w:jc w:val="both"/>
      </w:pPr>
      <w:r>
        <w:t xml:space="preserve">Na análise SHAP do modelo </w:t>
      </w:r>
      <w:proofErr w:type="spellStart"/>
      <w:r>
        <w:t>XGBoost</w:t>
      </w:r>
      <w:proofErr w:type="spellEnd"/>
      <w:r>
        <w:t>, IAN_LAG (defasagem do ano anterior) é o preditor mais forte de defasagem futura. A inércia educacional é massiva — alunos defasados tendem a permanecer defasados sem intervenção dirigida.</w:t>
      </w:r>
    </w:p>
    <w:p w14:paraId="09A726DE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Recomendação: tratar IAN_LAG ≥ moderado como gatilho automático para revisão pedagógica no início do ciclo seguinte — não esperar nova defasagem se consolidar.</w:t>
      </w:r>
    </w:p>
    <w:p w14:paraId="6C8AD7F4" w14:textId="77777777" w:rsidR="00787B30" w:rsidRDefault="00000000">
      <w:pPr>
        <w:pStyle w:val="Ttulo2"/>
      </w:pPr>
      <w:r>
        <w:t>Insight 04 · Bolsistas amplificam impacto · evidência quantitativa</w:t>
      </w:r>
    </w:p>
    <w:p w14:paraId="258BAC85" w14:textId="77777777" w:rsidR="00787B30" w:rsidRDefault="00000000">
      <w:pPr>
        <w:spacing w:after="120" w:line="320" w:lineRule="auto"/>
        <w:jc w:val="both"/>
      </w:pPr>
      <w:r>
        <w:t>Bolsistas apresentam INDE +9,7% acima de não-bolsistas, IPV +13% e IDA +17%. Apesar de representarem apenas 2,3% da base atual, o efeito é estatisticamente consistente.</w:t>
      </w:r>
    </w:p>
    <w:p w14:paraId="7A662DF9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Recomendação: documentar como case de captação — o programa de bolsas tem retorno mensurável e replicável.</w:t>
      </w:r>
    </w:p>
    <w:p w14:paraId="3CFEAA7C" w14:textId="77777777" w:rsidR="00787B30" w:rsidRDefault="00000000">
      <w:pPr>
        <w:pStyle w:val="Ttulo2"/>
      </w:pPr>
      <w:r>
        <w:t xml:space="preserve">Insight 05 · </w:t>
      </w:r>
      <w:proofErr w:type="spellStart"/>
      <w:r>
        <w:t>Threshold</w:t>
      </w:r>
      <w:proofErr w:type="spellEnd"/>
      <w:r>
        <w:t xml:space="preserve"> de modelo é decisão de política, não técnica</w:t>
      </w:r>
    </w:p>
    <w:p w14:paraId="10DF28CC" w14:textId="77777777" w:rsidR="00787B30" w:rsidRDefault="00000000">
      <w:pPr>
        <w:spacing w:after="120" w:line="320" w:lineRule="auto"/>
        <w:jc w:val="both"/>
      </w:pPr>
      <w:r>
        <w:t xml:space="preserve">A curva </w:t>
      </w:r>
      <w:proofErr w:type="spellStart"/>
      <w:r>
        <w:t>threshold</w:t>
      </w:r>
      <w:proofErr w:type="spellEnd"/>
      <w:r>
        <w:t xml:space="preserve"> × recall × </w:t>
      </w:r>
      <w:proofErr w:type="spellStart"/>
      <w:r>
        <w:t>precision</w:t>
      </w:r>
      <w:proofErr w:type="spellEnd"/>
      <w:r>
        <w:t xml:space="preserve"> mostra que o trade-off é gerenciável: em </w:t>
      </w:r>
      <w:proofErr w:type="spellStart"/>
      <w:r>
        <w:t>threshold</w:t>
      </w:r>
      <w:proofErr w:type="spellEnd"/>
      <w:r>
        <w:t xml:space="preserve"> 0,2, capturamos 93,5% dos casos com </w:t>
      </w:r>
      <w:proofErr w:type="spellStart"/>
      <w:r>
        <w:t>precision</w:t>
      </w:r>
      <w:proofErr w:type="spellEnd"/>
      <w:r>
        <w:t xml:space="preserve"> 46,5%; em 0,5, capturamos 84,6% com </w:t>
      </w:r>
      <w:proofErr w:type="spellStart"/>
      <w:r>
        <w:t>precision</w:t>
      </w:r>
      <w:proofErr w:type="spellEnd"/>
      <w:r>
        <w:t xml:space="preserve"> </w:t>
      </w:r>
      <w:r>
        <w:lastRenderedPageBreak/>
        <w:t>48,8%. A escolha de 0,3 reflete uma diretriz institucional — "toda criança em risco merece um adulto olhando".</w:t>
      </w:r>
    </w:p>
    <w:p w14:paraId="5C2CD41A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Recomendação: revisar o </w:t>
      </w:r>
      <w:proofErr w:type="spellStart"/>
      <w:r>
        <w:t>threshold</w:t>
      </w:r>
      <w:proofErr w:type="spellEnd"/>
      <w:r>
        <w:t xml:space="preserve"> periodicamente conforme a capacidade operacional de intervenção. Não é um parâmetro estático.</w:t>
      </w:r>
    </w:p>
    <w:p w14:paraId="3ED1D9EA" w14:textId="77777777" w:rsidR="00787B30" w:rsidRDefault="00000000">
      <w:pPr>
        <w:pStyle w:val="Ttulo2"/>
      </w:pPr>
      <w:proofErr w:type="spellStart"/>
      <w:r>
        <w:t>Roadmap</w:t>
      </w:r>
      <w:proofErr w:type="spellEnd"/>
      <w:r>
        <w:t xml:space="preserve"> de evolução analítica</w:t>
      </w:r>
    </w:p>
    <w:p w14:paraId="13A1B223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Curto prazo · integrar dados longitudinais individuais para análise de transições entre clusters.</w:t>
      </w:r>
    </w:p>
    <w:p w14:paraId="3D3BB12C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>Médio prazo · enriquecer features com sinais externos (frequência, atrasos, mudanças familiares).</w:t>
      </w:r>
    </w:p>
    <w:p w14:paraId="3608B143" w14:textId="77777777" w:rsidR="00787B3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Longo prazo · evoluir para modelo de séries temporais (LSTM ou </w:t>
      </w:r>
      <w:proofErr w:type="spellStart"/>
      <w:r>
        <w:t>Transformer</w:t>
      </w:r>
      <w:proofErr w:type="spellEnd"/>
      <w:r>
        <w:t>) capturando trajetória completa do aluno.</w:t>
      </w:r>
    </w:p>
    <w:sectPr w:rsidR="00787B3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63A3C" w14:textId="77777777" w:rsidR="00D911E1" w:rsidRDefault="00D911E1">
      <w:r>
        <w:separator/>
      </w:r>
    </w:p>
  </w:endnote>
  <w:endnote w:type="continuationSeparator" w:id="0">
    <w:p w14:paraId="3D964D88" w14:textId="77777777" w:rsidR="00D911E1" w:rsidRDefault="00D91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0C64C" w14:textId="77777777" w:rsidR="00787B30" w:rsidRDefault="00000000">
    <w:pPr>
      <w:jc w:val="right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C5096B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A0B00" w14:textId="77777777" w:rsidR="00D911E1" w:rsidRDefault="00D911E1">
      <w:r>
        <w:separator/>
      </w:r>
    </w:p>
  </w:footnote>
  <w:footnote w:type="continuationSeparator" w:id="0">
    <w:p w14:paraId="2932785B" w14:textId="77777777" w:rsidR="00D911E1" w:rsidRDefault="00D91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5EA58" w14:textId="0CBC4B18" w:rsidR="00787B30" w:rsidRDefault="00000000">
    <w:pPr>
      <w:jc w:val="right"/>
      <w:rPr>
        <w:color w:val="6B7280"/>
        <w:sz w:val="16"/>
        <w:szCs w:val="16"/>
      </w:rPr>
    </w:pPr>
    <w:proofErr w:type="spellStart"/>
    <w:r>
      <w:rPr>
        <w:color w:val="6B7280"/>
        <w:sz w:val="16"/>
        <w:szCs w:val="16"/>
      </w:rPr>
      <w:t>Datathon</w:t>
    </w:r>
    <w:proofErr w:type="spellEnd"/>
    <w:r>
      <w:rPr>
        <w:color w:val="6B7280"/>
        <w:sz w:val="16"/>
        <w:szCs w:val="16"/>
      </w:rPr>
      <w:t xml:space="preserve"> FIAP · Passos Mágicos </w:t>
    </w:r>
  </w:p>
  <w:p w14:paraId="51616726" w14:textId="77777777" w:rsidR="00F738F7" w:rsidRDefault="00F738F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A3219"/>
    <w:multiLevelType w:val="hybridMultilevel"/>
    <w:tmpl w:val="3B9A0BC4"/>
    <w:lvl w:ilvl="0" w:tplc="E0000514">
      <w:start w:val="1"/>
      <w:numFmt w:val="bullet"/>
      <w:lvlText w:val="●"/>
      <w:lvlJc w:val="left"/>
      <w:pPr>
        <w:ind w:left="720" w:hanging="360"/>
      </w:pPr>
    </w:lvl>
    <w:lvl w:ilvl="1" w:tplc="28B86074">
      <w:start w:val="1"/>
      <w:numFmt w:val="bullet"/>
      <w:lvlText w:val="○"/>
      <w:lvlJc w:val="left"/>
      <w:pPr>
        <w:ind w:left="1440" w:hanging="360"/>
      </w:pPr>
    </w:lvl>
    <w:lvl w:ilvl="2" w:tplc="C9C06BBE">
      <w:start w:val="1"/>
      <w:numFmt w:val="bullet"/>
      <w:lvlText w:val="■"/>
      <w:lvlJc w:val="left"/>
      <w:pPr>
        <w:ind w:left="2160" w:hanging="360"/>
      </w:pPr>
    </w:lvl>
    <w:lvl w:ilvl="3" w:tplc="EFDC8EA8">
      <w:start w:val="1"/>
      <w:numFmt w:val="bullet"/>
      <w:lvlText w:val="●"/>
      <w:lvlJc w:val="left"/>
      <w:pPr>
        <w:ind w:left="2880" w:hanging="360"/>
      </w:pPr>
    </w:lvl>
    <w:lvl w:ilvl="4" w:tplc="60B8F2E0">
      <w:start w:val="1"/>
      <w:numFmt w:val="bullet"/>
      <w:lvlText w:val="○"/>
      <w:lvlJc w:val="left"/>
      <w:pPr>
        <w:ind w:left="3600" w:hanging="360"/>
      </w:pPr>
    </w:lvl>
    <w:lvl w:ilvl="5" w:tplc="36060048">
      <w:start w:val="1"/>
      <w:numFmt w:val="bullet"/>
      <w:lvlText w:val="■"/>
      <w:lvlJc w:val="left"/>
      <w:pPr>
        <w:ind w:left="4320" w:hanging="360"/>
      </w:pPr>
    </w:lvl>
    <w:lvl w:ilvl="6" w:tplc="176CCDA8">
      <w:start w:val="1"/>
      <w:numFmt w:val="bullet"/>
      <w:lvlText w:val="●"/>
      <w:lvlJc w:val="left"/>
      <w:pPr>
        <w:ind w:left="5040" w:hanging="360"/>
      </w:pPr>
    </w:lvl>
    <w:lvl w:ilvl="7" w:tplc="449EF720">
      <w:start w:val="1"/>
      <w:numFmt w:val="bullet"/>
      <w:lvlText w:val="●"/>
      <w:lvlJc w:val="left"/>
      <w:pPr>
        <w:ind w:left="5760" w:hanging="360"/>
      </w:pPr>
    </w:lvl>
    <w:lvl w:ilvl="8" w:tplc="0AA839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EA2EE7"/>
    <w:multiLevelType w:val="hybridMultilevel"/>
    <w:tmpl w:val="026E85FA"/>
    <w:lvl w:ilvl="0" w:tplc="69C2C886">
      <w:start w:val="1"/>
      <w:numFmt w:val="bullet"/>
      <w:lvlText w:val="•"/>
      <w:lvlJc w:val="left"/>
      <w:pPr>
        <w:ind w:left="720" w:hanging="360"/>
      </w:pPr>
    </w:lvl>
    <w:lvl w:ilvl="1" w:tplc="3B8A730A">
      <w:numFmt w:val="decimal"/>
      <w:lvlText w:val=""/>
      <w:lvlJc w:val="left"/>
    </w:lvl>
    <w:lvl w:ilvl="2" w:tplc="CF6C1CBA">
      <w:numFmt w:val="decimal"/>
      <w:lvlText w:val=""/>
      <w:lvlJc w:val="left"/>
    </w:lvl>
    <w:lvl w:ilvl="3" w:tplc="80FA6452">
      <w:numFmt w:val="decimal"/>
      <w:lvlText w:val=""/>
      <w:lvlJc w:val="left"/>
    </w:lvl>
    <w:lvl w:ilvl="4" w:tplc="FA5C5510">
      <w:numFmt w:val="decimal"/>
      <w:lvlText w:val=""/>
      <w:lvlJc w:val="left"/>
    </w:lvl>
    <w:lvl w:ilvl="5" w:tplc="A192DD6C">
      <w:numFmt w:val="decimal"/>
      <w:lvlText w:val=""/>
      <w:lvlJc w:val="left"/>
    </w:lvl>
    <w:lvl w:ilvl="6" w:tplc="3BD2415E">
      <w:numFmt w:val="decimal"/>
      <w:lvlText w:val=""/>
      <w:lvlJc w:val="left"/>
    </w:lvl>
    <w:lvl w:ilvl="7" w:tplc="3828E344">
      <w:numFmt w:val="decimal"/>
      <w:lvlText w:val=""/>
      <w:lvlJc w:val="left"/>
    </w:lvl>
    <w:lvl w:ilvl="8" w:tplc="3CA4EF3A">
      <w:numFmt w:val="decimal"/>
      <w:lvlText w:val=""/>
      <w:lvlJc w:val="left"/>
    </w:lvl>
  </w:abstractNum>
  <w:num w:numId="1" w16cid:durableId="1499492348">
    <w:abstractNumId w:val="0"/>
    <w:lvlOverride w:ilvl="0">
      <w:startOverride w:val="1"/>
    </w:lvlOverride>
  </w:num>
  <w:num w:numId="2" w16cid:durableId="1978595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B30"/>
    <w:rsid w:val="00346BDD"/>
    <w:rsid w:val="00787B30"/>
    <w:rsid w:val="00C5096B"/>
    <w:rsid w:val="00D911E1"/>
    <w:rsid w:val="00DD7EC7"/>
    <w:rsid w:val="00F7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AFFCC"/>
  <w15:docId w15:val="{6170602E-3772-457C-A296-3452B5ED1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A0E1A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0A0E1A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738F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738F7"/>
  </w:style>
  <w:style w:type="paragraph" w:styleId="Rodap">
    <w:name w:val="footer"/>
    <w:basedOn w:val="Normal"/>
    <w:link w:val="RodapChar"/>
    <w:uiPriority w:val="99"/>
    <w:unhideWhenUsed/>
    <w:rsid w:val="00F738F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73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2268</Words>
  <Characters>12250</Characters>
  <Application>Microsoft Office Word</Application>
  <DocSecurity>0</DocSecurity>
  <Lines>102</Lines>
  <Paragraphs>28</Paragraphs>
  <ScaleCrop>false</ScaleCrop>
  <Company/>
  <LinksUpToDate>false</LinksUpToDate>
  <CharactersWithSpaces>14490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de Marchi Franciscon</cp:lastModifiedBy>
  <cp:revision>3</cp:revision>
  <dcterms:created xsi:type="dcterms:W3CDTF">2026-05-16T20:08:00Z</dcterms:created>
  <dcterms:modified xsi:type="dcterms:W3CDTF">2026-05-16T20:09:00Z</dcterms:modified>
</cp:coreProperties>
</file>