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4676" w14:textId="148F84A1" w:rsidR="00CA5AA6" w:rsidRDefault="00830664" w:rsidP="0083066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A5AA6">
        <w:rPr>
          <w:rFonts w:ascii="Arial" w:hAnsi="Arial" w:cs="Arial"/>
          <w:b/>
          <w:bCs/>
          <w:sz w:val="28"/>
          <w:szCs w:val="28"/>
        </w:rPr>
        <w:t>D</w:t>
      </w:r>
      <w:r w:rsidRPr="00CA5AA6">
        <w:rPr>
          <w:rFonts w:ascii="Arial" w:hAnsi="Arial" w:cs="Arial"/>
          <w:b/>
          <w:bCs/>
          <w:sz w:val="28"/>
          <w:szCs w:val="28"/>
        </w:rPr>
        <w:t xml:space="preserve">esperdício </w:t>
      </w:r>
      <w:r w:rsidRPr="00CA5AA6">
        <w:rPr>
          <w:rFonts w:ascii="Arial" w:hAnsi="Arial" w:cs="Arial"/>
          <w:b/>
          <w:bCs/>
          <w:sz w:val="28"/>
          <w:szCs w:val="28"/>
        </w:rPr>
        <w:t>A</w:t>
      </w:r>
      <w:r w:rsidRPr="00CA5AA6">
        <w:rPr>
          <w:rFonts w:ascii="Arial" w:hAnsi="Arial" w:cs="Arial"/>
          <w:b/>
          <w:bCs/>
          <w:sz w:val="28"/>
          <w:szCs w:val="28"/>
        </w:rPr>
        <w:t>limentar</w:t>
      </w:r>
    </w:p>
    <w:p w14:paraId="609D216D" w14:textId="77777777" w:rsidR="00141331" w:rsidRPr="00141331" w:rsidRDefault="00141331" w:rsidP="00141331">
      <w:pPr>
        <w:jc w:val="left"/>
        <w:rPr>
          <w:rFonts w:ascii="Arial" w:hAnsi="Arial" w:cs="Arial"/>
          <w:sz w:val="28"/>
          <w:szCs w:val="28"/>
        </w:rPr>
      </w:pPr>
    </w:p>
    <w:p w14:paraId="7F76E99A" w14:textId="60DFDEF7" w:rsidR="00830664" w:rsidRPr="00CB1DF0" w:rsidRDefault="00830664" w:rsidP="00C271F4">
      <w:pPr>
        <w:rPr>
          <w:rFonts w:ascii="Arial" w:hAnsi="Arial" w:cs="Arial"/>
          <w:b/>
          <w:bCs/>
          <w:sz w:val="28"/>
          <w:szCs w:val="28"/>
        </w:rPr>
      </w:pPr>
      <w:r w:rsidRPr="00CB1DF0">
        <w:rPr>
          <w:rFonts w:ascii="Arial" w:hAnsi="Arial" w:cs="Arial"/>
          <w:b/>
          <w:bCs/>
          <w:sz w:val="28"/>
          <w:szCs w:val="28"/>
        </w:rPr>
        <w:t>P</w:t>
      </w:r>
      <w:r w:rsidRPr="00CB1DF0">
        <w:rPr>
          <w:rFonts w:ascii="Arial" w:hAnsi="Arial" w:cs="Arial"/>
          <w:b/>
          <w:bCs/>
          <w:sz w:val="28"/>
          <w:szCs w:val="28"/>
        </w:rPr>
        <w:t>or que detectar maturação/deterioração importa</w:t>
      </w:r>
      <w:r w:rsidRPr="00CB1DF0">
        <w:rPr>
          <w:rFonts w:ascii="Arial" w:hAnsi="Arial" w:cs="Arial"/>
          <w:b/>
          <w:bCs/>
          <w:sz w:val="28"/>
          <w:szCs w:val="28"/>
        </w:rPr>
        <w:t>?</w:t>
      </w:r>
    </w:p>
    <w:p w14:paraId="7B482D17" w14:textId="783A2124" w:rsidR="00CA5AA6" w:rsidRPr="00CA5AA6" w:rsidRDefault="00CA5AA6" w:rsidP="00C271F4">
      <w:pPr>
        <w:rPr>
          <w:rFonts w:ascii="Arial" w:hAnsi="Arial" w:cs="Arial"/>
          <w:b/>
          <w:bCs/>
        </w:rPr>
      </w:pPr>
      <w:r w:rsidRPr="00CA5AA6">
        <w:rPr>
          <w:rFonts w:ascii="Arial" w:hAnsi="Arial" w:cs="Arial"/>
          <w:b/>
          <w:bCs/>
        </w:rPr>
        <w:t>1) Escala global do problema</w:t>
      </w:r>
    </w:p>
    <w:p w14:paraId="242BD7C3" w14:textId="719D0036" w:rsidR="00CA5AA6" w:rsidRPr="00CA5AA6" w:rsidRDefault="00CA5AA6" w:rsidP="00D6213D">
      <w:pPr>
        <w:ind w:firstLine="709"/>
        <w:rPr>
          <w:rFonts w:ascii="Arial" w:hAnsi="Arial" w:cs="Arial"/>
        </w:rPr>
      </w:pPr>
      <w:r w:rsidRPr="00CA5AA6">
        <w:rPr>
          <w:rFonts w:ascii="Arial" w:hAnsi="Arial" w:cs="Arial"/>
        </w:rPr>
        <w:t xml:space="preserve">Uma grande parcela da comida produzida para consumo humano não chega a ser consumida: estimativas recentes apontam que </w:t>
      </w:r>
      <w:r w:rsidR="005220A2">
        <w:rPr>
          <w:rFonts w:ascii="Arial" w:hAnsi="Arial" w:cs="Arial"/>
        </w:rPr>
        <w:t>cerca de</w:t>
      </w:r>
      <w:r w:rsidRPr="00CA5AA6">
        <w:rPr>
          <w:rFonts w:ascii="Arial" w:hAnsi="Arial" w:cs="Arial"/>
        </w:rPr>
        <w:t xml:space="preserve"> um terço dos alimentos produzidos globalmente é perdido ou desperdiçado, o que representa centenas de milhões de toneladas por ano. Essa perda acontece ao longo de toda a cadeia — da colheita ao consumidor final — e é apontada por agências internacionais como uma das falhas mais graves do sistema alimentar global</w:t>
      </w:r>
      <w:r w:rsidR="005220A2">
        <w:rPr>
          <w:rFonts w:ascii="Arial" w:hAnsi="Arial" w:cs="Arial"/>
        </w:rPr>
        <w:t xml:space="preserve"> (</w:t>
      </w:r>
      <w:hyperlink r:id="rId5" w:history="1">
        <w:r w:rsidR="00C271F4">
          <w:rPr>
            <w:rStyle w:val="Hyperlink"/>
            <w:rFonts w:ascii="Arial" w:hAnsi="Arial" w:cs="Arial"/>
          </w:rPr>
          <w:t>Global Food Losses and Food Waste</w:t>
        </w:r>
      </w:hyperlink>
      <w:r w:rsidR="005220A2">
        <w:rPr>
          <w:rFonts w:ascii="Arial" w:hAnsi="Arial" w:cs="Arial"/>
        </w:rPr>
        <w:t>)</w:t>
      </w:r>
      <w:r w:rsidRPr="00CA5AA6">
        <w:rPr>
          <w:rFonts w:ascii="Arial" w:hAnsi="Arial" w:cs="Arial"/>
        </w:rPr>
        <w:t>.</w:t>
      </w:r>
    </w:p>
    <w:p w14:paraId="45C62838" w14:textId="0BB93916" w:rsidR="00CA5AA6" w:rsidRDefault="00CA5AA6" w:rsidP="00C271F4">
      <w:pPr>
        <w:ind w:firstLine="709"/>
        <w:rPr>
          <w:rFonts w:ascii="Arial" w:hAnsi="Arial" w:cs="Arial"/>
        </w:rPr>
      </w:pPr>
      <w:r w:rsidRPr="00CA5AA6">
        <w:rPr>
          <w:rFonts w:ascii="Arial" w:hAnsi="Arial" w:cs="Arial"/>
        </w:rPr>
        <w:t>Além disso, o alimento desperdiçado corresponde a uma fatia significativa das emissões globais de gases de efeito estufa: cálculos amplamente divulgados indicam que o desperdício alimentar responde por algo na ordem de 6% a 10% das emissões globais</w:t>
      </w:r>
      <w:r w:rsidR="005220A2">
        <w:rPr>
          <w:rFonts w:ascii="Arial" w:hAnsi="Arial" w:cs="Arial"/>
        </w:rPr>
        <w:t xml:space="preserve">. </w:t>
      </w:r>
      <w:r w:rsidRPr="00CA5AA6">
        <w:rPr>
          <w:rFonts w:ascii="Arial" w:hAnsi="Arial" w:cs="Arial"/>
        </w:rPr>
        <w:t>Reduzir o desperdício é, portanto, uma alavanca direta de mitigação climática</w:t>
      </w:r>
      <w:r w:rsidR="005220A2">
        <w:rPr>
          <w:rFonts w:ascii="Arial" w:hAnsi="Arial" w:cs="Arial"/>
        </w:rPr>
        <w:t xml:space="preserve"> (</w:t>
      </w:r>
      <w:hyperlink r:id="rId6" w:history="1">
        <w:r w:rsidR="00C271F4">
          <w:rPr>
            <w:rStyle w:val="Hyperlink"/>
            <w:rFonts w:ascii="Arial" w:hAnsi="Arial" w:cs="Arial"/>
          </w:rPr>
          <w:t>Food Waste and Greenhouse Gas Emissions</w:t>
        </w:r>
      </w:hyperlink>
      <w:r w:rsidR="005220A2">
        <w:rPr>
          <w:rFonts w:ascii="Arial" w:hAnsi="Arial" w:cs="Arial"/>
        </w:rPr>
        <w:t>)</w:t>
      </w:r>
      <w:r w:rsidRPr="00CA5AA6">
        <w:rPr>
          <w:rFonts w:ascii="Arial" w:hAnsi="Arial" w:cs="Arial"/>
        </w:rPr>
        <w:t>.</w:t>
      </w:r>
    </w:p>
    <w:p w14:paraId="737649B9" w14:textId="45B99AE3" w:rsidR="0089421D" w:rsidRPr="0089421D" w:rsidRDefault="0089421D" w:rsidP="0089421D">
      <w:pPr>
        <w:rPr>
          <w:rFonts w:ascii="Arial" w:hAnsi="Arial" w:cs="Arial"/>
        </w:rPr>
      </w:pPr>
      <w:r w:rsidRPr="0089421D">
        <w:rPr>
          <w:rFonts w:ascii="Arial" w:hAnsi="Arial" w:cs="Arial"/>
        </w:rPr>
        <w:drawing>
          <wp:inline distT="0" distB="0" distL="0" distR="0" wp14:anchorId="1C2285DE" wp14:editId="3EADC0C7">
            <wp:extent cx="5370779" cy="2352675"/>
            <wp:effectExtent l="0" t="0" r="1905" b="0"/>
            <wp:docPr id="1608609551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9551" name="Imagem 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44" cy="23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86F9" w14:textId="77777777" w:rsidR="00474A96" w:rsidRPr="00CA5AA6" w:rsidRDefault="00474A96" w:rsidP="00CA5AA6">
      <w:pPr>
        <w:jc w:val="left"/>
        <w:rPr>
          <w:rFonts w:ascii="Arial" w:hAnsi="Arial" w:cs="Arial"/>
        </w:rPr>
      </w:pPr>
    </w:p>
    <w:p w14:paraId="05DA8237" w14:textId="2F48DEFB" w:rsidR="00CA5AA6" w:rsidRPr="00CA5AA6" w:rsidRDefault="00CA5AA6" w:rsidP="00C271F4">
      <w:pPr>
        <w:rPr>
          <w:rFonts w:ascii="Arial" w:hAnsi="Arial" w:cs="Arial"/>
        </w:rPr>
      </w:pPr>
      <w:r w:rsidRPr="005220A2">
        <w:rPr>
          <w:rFonts w:ascii="Arial" w:hAnsi="Arial" w:cs="Arial"/>
          <w:b/>
          <w:bCs/>
        </w:rPr>
        <w:t>2) Onde o desperdício acontece (e por que soluções de consumidores</w:t>
      </w:r>
      <w:r w:rsidRPr="00CA5AA6">
        <w:rPr>
          <w:rFonts w:ascii="Arial" w:hAnsi="Arial" w:cs="Arial"/>
        </w:rPr>
        <w:t xml:space="preserve"> </w:t>
      </w:r>
      <w:r w:rsidRPr="005220A2">
        <w:rPr>
          <w:rFonts w:ascii="Arial" w:hAnsi="Arial" w:cs="Arial"/>
          <w:b/>
          <w:bCs/>
        </w:rPr>
        <w:t>importam)</w:t>
      </w:r>
    </w:p>
    <w:p w14:paraId="7FDA326A" w14:textId="4C44F393" w:rsidR="00CA5AA6" w:rsidRDefault="00CA5AA6" w:rsidP="00C271F4">
      <w:pPr>
        <w:ind w:firstLine="709"/>
        <w:rPr>
          <w:rFonts w:ascii="Arial" w:hAnsi="Arial" w:cs="Arial"/>
        </w:rPr>
      </w:pPr>
      <w:r w:rsidRPr="00CA5AA6">
        <w:rPr>
          <w:rFonts w:ascii="Arial" w:hAnsi="Arial" w:cs="Arial"/>
        </w:rPr>
        <w:t>Relatórios internacionais mostram que uma grande parcela do desperdício ocorre em domicílios</w:t>
      </w:r>
      <w:r w:rsidR="005220A2">
        <w:rPr>
          <w:rFonts w:ascii="Arial" w:hAnsi="Arial" w:cs="Arial"/>
        </w:rPr>
        <w:t xml:space="preserve">, </w:t>
      </w:r>
      <w:r w:rsidRPr="00CA5AA6">
        <w:rPr>
          <w:rFonts w:ascii="Arial" w:hAnsi="Arial" w:cs="Arial"/>
        </w:rPr>
        <w:t xml:space="preserve">além de perdas em varejo e serviços. Isso significa que intervenções no comportamento do consumidor — incluindo ferramentas que ajudem a avaliar se um alimento ainda está bom — podem </w:t>
      </w:r>
      <w:r w:rsidRPr="00CA5AA6">
        <w:rPr>
          <w:rFonts w:ascii="Arial" w:hAnsi="Arial" w:cs="Arial"/>
        </w:rPr>
        <w:lastRenderedPageBreak/>
        <w:t>atacar uma das frentes mais relevantes do problema</w:t>
      </w:r>
      <w:r w:rsidR="005220A2">
        <w:rPr>
          <w:rFonts w:ascii="Arial" w:hAnsi="Arial" w:cs="Arial"/>
        </w:rPr>
        <w:t xml:space="preserve"> (</w:t>
      </w:r>
      <w:hyperlink r:id="rId8" w:history="1">
        <w:r w:rsidR="00B11FA7">
          <w:rPr>
            <w:rStyle w:val="Hyperlink"/>
            <w:rFonts w:ascii="Arial" w:hAnsi="Arial" w:cs="Arial"/>
          </w:rPr>
          <w:t>783 Million People Face Chroni</w:t>
        </w:r>
        <w:r w:rsidR="00B11FA7">
          <w:rPr>
            <w:rStyle w:val="Hyperlink"/>
            <w:rFonts w:ascii="Arial" w:hAnsi="Arial" w:cs="Arial"/>
          </w:rPr>
          <w:t>c</w:t>
        </w:r>
        <w:r w:rsidR="00B11FA7">
          <w:rPr>
            <w:rStyle w:val="Hyperlink"/>
            <w:rFonts w:ascii="Arial" w:hAnsi="Arial" w:cs="Arial"/>
          </w:rPr>
          <w:t xml:space="preserve"> Hunger</w:t>
        </w:r>
      </w:hyperlink>
      <w:r w:rsidR="005220A2">
        <w:rPr>
          <w:rFonts w:ascii="Arial" w:hAnsi="Arial" w:cs="Arial"/>
        </w:rPr>
        <w:t>)</w:t>
      </w:r>
      <w:r w:rsidRPr="00CA5AA6">
        <w:rPr>
          <w:rFonts w:ascii="Arial" w:hAnsi="Arial" w:cs="Arial"/>
        </w:rPr>
        <w:t xml:space="preserve">. </w:t>
      </w:r>
    </w:p>
    <w:p w14:paraId="4CDC0A87" w14:textId="77777777" w:rsidR="005220A2" w:rsidRPr="00CA5AA6" w:rsidRDefault="005220A2" w:rsidP="00C271F4">
      <w:pPr>
        <w:rPr>
          <w:rFonts w:ascii="Arial" w:hAnsi="Arial" w:cs="Arial"/>
        </w:rPr>
      </w:pPr>
    </w:p>
    <w:p w14:paraId="030EEF15" w14:textId="05EED048" w:rsidR="00CA5AA6" w:rsidRPr="005220A2" w:rsidRDefault="00CA5AA6" w:rsidP="00C271F4">
      <w:pPr>
        <w:rPr>
          <w:rFonts w:ascii="Arial" w:hAnsi="Arial" w:cs="Arial"/>
          <w:b/>
          <w:bCs/>
        </w:rPr>
      </w:pPr>
      <w:r w:rsidRPr="005220A2">
        <w:rPr>
          <w:rFonts w:ascii="Arial" w:hAnsi="Arial" w:cs="Arial"/>
          <w:b/>
          <w:bCs/>
        </w:rPr>
        <w:t>3) Impactos socioeconômicos e contradição com insegurança alimentar</w:t>
      </w:r>
    </w:p>
    <w:p w14:paraId="3BF430E7" w14:textId="3D7DCACB" w:rsidR="001E1358" w:rsidRDefault="00CA5AA6" w:rsidP="00EE4668">
      <w:pPr>
        <w:ind w:firstLine="709"/>
        <w:rPr>
          <w:rFonts w:ascii="Arial" w:hAnsi="Arial" w:cs="Arial"/>
        </w:rPr>
      </w:pPr>
      <w:r w:rsidRPr="00CA5AA6">
        <w:rPr>
          <w:rFonts w:ascii="Arial" w:hAnsi="Arial" w:cs="Arial"/>
        </w:rPr>
        <w:t>Enquanto bilhões de toneladas de alimentos são descartadas, centenas de milhões de pessoas ainda enfrentam insegurança alimentar e fome. No Brasil, as pesquisas oficiais do IBGE mostram que milhões de domicílios vivenciam algum grau de insegurança alimentar (por exemplo, índices recentes mostram dezenas de milhões de domicílios afetados em anos recentes), o que evidencia a contradição entre desperdício e acesso irregular à alimentação. Ferramentas que reduzam o descarte prematuro podem, em pequena escala, aliviar pressão sobre a disponibilidade de alimentos nas famílias</w:t>
      </w:r>
      <w:r w:rsidR="001E1358">
        <w:rPr>
          <w:rFonts w:ascii="Arial" w:hAnsi="Arial" w:cs="Arial"/>
        </w:rPr>
        <w:t xml:space="preserve"> (</w:t>
      </w:r>
      <w:hyperlink r:id="rId9" w:history="1">
        <w:r w:rsidR="004A2B15">
          <w:rPr>
            <w:rStyle w:val="Hyperlink"/>
            <w:rFonts w:ascii="Arial" w:hAnsi="Arial" w:cs="Arial"/>
          </w:rPr>
          <w:t>Food S</w:t>
        </w:r>
        <w:r w:rsidR="004A2B15">
          <w:rPr>
            <w:rStyle w:val="Hyperlink"/>
            <w:rFonts w:ascii="Arial" w:hAnsi="Arial" w:cs="Arial"/>
          </w:rPr>
          <w:t>e</w:t>
        </w:r>
        <w:r w:rsidR="004A2B15">
          <w:rPr>
            <w:rStyle w:val="Hyperlink"/>
            <w:rFonts w:ascii="Arial" w:hAnsi="Arial" w:cs="Arial"/>
          </w:rPr>
          <w:t>curity in Brazil</w:t>
        </w:r>
      </w:hyperlink>
      <w:r w:rsidR="001E1358">
        <w:rPr>
          <w:rFonts w:ascii="Arial" w:hAnsi="Arial" w:cs="Arial"/>
        </w:rPr>
        <w:t>)</w:t>
      </w:r>
      <w:r w:rsidRPr="00CA5AA6">
        <w:rPr>
          <w:rFonts w:ascii="Arial" w:hAnsi="Arial" w:cs="Arial"/>
        </w:rPr>
        <w:t>.</w:t>
      </w:r>
    </w:p>
    <w:p w14:paraId="76E8DE93" w14:textId="186C9989" w:rsidR="00CA5AA6" w:rsidRPr="00CA5AA6" w:rsidRDefault="00474A96" w:rsidP="00C271F4">
      <w:pPr>
        <w:rPr>
          <w:rFonts w:ascii="Arial" w:hAnsi="Arial" w:cs="Arial"/>
        </w:rPr>
      </w:pPr>
      <w:r w:rsidRPr="00474A96">
        <w:rPr>
          <w:rFonts w:ascii="Arial" w:hAnsi="Arial" w:cs="Arial"/>
        </w:rPr>
        <w:drawing>
          <wp:inline distT="0" distB="0" distL="0" distR="0" wp14:anchorId="457D133D" wp14:editId="2FF433FD">
            <wp:extent cx="5400040" cy="5400040"/>
            <wp:effectExtent l="0" t="0" r="0" b="0"/>
            <wp:docPr id="631825497" name="Imagem 4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5497" name="Imagem 4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88E2" w14:textId="49860F90" w:rsidR="00CA5AA6" w:rsidRPr="000406DB" w:rsidRDefault="00CA5AA6" w:rsidP="00C271F4">
      <w:pPr>
        <w:rPr>
          <w:rFonts w:ascii="Arial" w:hAnsi="Arial" w:cs="Arial"/>
          <w:b/>
          <w:bCs/>
        </w:rPr>
      </w:pPr>
      <w:r w:rsidRPr="000406DB">
        <w:rPr>
          <w:rFonts w:ascii="Arial" w:hAnsi="Arial" w:cs="Arial"/>
          <w:b/>
          <w:bCs/>
        </w:rPr>
        <w:lastRenderedPageBreak/>
        <w:t>5) Por que detectar maturação/deterioração por câmera é uma solução plausível</w:t>
      </w:r>
    </w:p>
    <w:p w14:paraId="6BDAA205" w14:textId="006CA2EB" w:rsidR="00CA5AA6" w:rsidRDefault="00CA5AA6" w:rsidP="00EE4668">
      <w:pPr>
        <w:ind w:firstLine="709"/>
        <w:rPr>
          <w:rFonts w:ascii="Arial" w:hAnsi="Arial" w:cs="Arial"/>
        </w:rPr>
      </w:pPr>
      <w:r w:rsidRPr="00CA5AA6">
        <w:rPr>
          <w:rFonts w:ascii="Arial" w:hAnsi="Arial" w:cs="Arial"/>
        </w:rPr>
        <w:t xml:space="preserve">Há estudos e protótipos de aplicações para smartphone que avaliam frescor de maçãs, alfaces, e detectam estágios de maturação com boa acurácia, o que torna viável um sistema móvel para uso doméstico ou em pontos de venda. Isso sugere que um projeto com foco em </w:t>
      </w:r>
      <w:r w:rsidR="00141331">
        <w:rPr>
          <w:rFonts w:ascii="Arial" w:hAnsi="Arial" w:cs="Arial"/>
        </w:rPr>
        <w:t>maturação</w:t>
      </w:r>
      <w:r w:rsidRPr="00CA5AA6">
        <w:rPr>
          <w:rFonts w:ascii="Arial" w:hAnsi="Arial" w:cs="Arial"/>
        </w:rPr>
        <w:t>/</w:t>
      </w:r>
      <w:r w:rsidR="00141331">
        <w:rPr>
          <w:rFonts w:ascii="Arial" w:hAnsi="Arial" w:cs="Arial"/>
        </w:rPr>
        <w:t xml:space="preserve">frescor </w:t>
      </w:r>
      <w:r w:rsidRPr="00CA5AA6">
        <w:rPr>
          <w:rFonts w:ascii="Arial" w:hAnsi="Arial" w:cs="Arial"/>
        </w:rPr>
        <w:t>é tecnicamente factível como prova de conceito</w:t>
      </w:r>
      <w:r w:rsidR="00141331">
        <w:rPr>
          <w:rFonts w:ascii="Arial" w:hAnsi="Arial" w:cs="Arial"/>
        </w:rPr>
        <w:t>, colaborando para a diminuição do desperdício de alimentos (</w:t>
      </w:r>
      <w:hyperlink r:id="rId11" w:history="1">
        <w:r w:rsidR="002D0A2E">
          <w:rPr>
            <w:rStyle w:val="Hyperlink"/>
            <w:rFonts w:ascii="Arial" w:hAnsi="Arial" w:cs="Arial"/>
          </w:rPr>
          <w:t>App for Real-time Freshness Prediction</w:t>
        </w:r>
      </w:hyperlink>
      <w:r w:rsidR="00141331">
        <w:rPr>
          <w:rFonts w:ascii="Arial" w:hAnsi="Arial" w:cs="Arial"/>
        </w:rPr>
        <w:t>)</w:t>
      </w:r>
      <w:r w:rsidRPr="00CA5AA6">
        <w:rPr>
          <w:rFonts w:ascii="Arial" w:hAnsi="Arial" w:cs="Arial"/>
        </w:rPr>
        <w:t>.</w:t>
      </w:r>
    </w:p>
    <w:p w14:paraId="3D867BD3" w14:textId="77777777" w:rsidR="00CA5AA6" w:rsidRPr="00CA5AA6" w:rsidRDefault="00CA5AA6" w:rsidP="00C271F4">
      <w:pPr>
        <w:rPr>
          <w:rFonts w:ascii="Arial" w:hAnsi="Arial" w:cs="Arial"/>
        </w:rPr>
      </w:pPr>
    </w:p>
    <w:p w14:paraId="6E1B79DC" w14:textId="6FED6520" w:rsidR="00CA5AA6" w:rsidRPr="00C271F4" w:rsidRDefault="00CA5AA6" w:rsidP="00C271F4">
      <w:pPr>
        <w:rPr>
          <w:rFonts w:ascii="Arial" w:hAnsi="Arial" w:cs="Arial"/>
          <w:b/>
          <w:bCs/>
          <w:sz w:val="28"/>
          <w:szCs w:val="28"/>
        </w:rPr>
      </w:pPr>
      <w:r w:rsidRPr="00C271F4">
        <w:rPr>
          <w:rFonts w:ascii="Arial" w:hAnsi="Arial" w:cs="Arial"/>
          <w:b/>
          <w:bCs/>
          <w:sz w:val="28"/>
          <w:szCs w:val="28"/>
        </w:rPr>
        <w:t>Causas principais do desperdício que o software pode atacar</w:t>
      </w:r>
    </w:p>
    <w:p w14:paraId="040E97FE" w14:textId="30D27E87" w:rsidR="00CA5AA6" w:rsidRPr="00A465B4" w:rsidRDefault="007E5D08" w:rsidP="00A465B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</w:t>
      </w:r>
      <w:r w:rsidR="00CA5AA6" w:rsidRPr="007E5D08">
        <w:rPr>
          <w:rFonts w:ascii="Arial" w:hAnsi="Arial" w:cs="Arial"/>
          <w:b/>
          <w:bCs/>
        </w:rPr>
        <w:t>ercepção errada de validade</w:t>
      </w:r>
      <w:r w:rsidR="00A465B4">
        <w:rPr>
          <w:rFonts w:ascii="Arial" w:hAnsi="Arial" w:cs="Arial"/>
          <w:b/>
          <w:bCs/>
        </w:rPr>
        <w:t>:</w:t>
      </w:r>
      <w:r w:rsidR="00CA5AA6" w:rsidRPr="007E5D08">
        <w:rPr>
          <w:rFonts w:ascii="Arial" w:hAnsi="Arial" w:cs="Arial"/>
        </w:rPr>
        <w:t xml:space="preserve"> consumidores jogam fora alimentos que ainda estão bons por não saberem distinguir sinais reais de deterioração</w:t>
      </w:r>
      <w:r w:rsidR="00A465B4">
        <w:rPr>
          <w:rFonts w:ascii="Arial" w:hAnsi="Arial" w:cs="Arial"/>
        </w:rPr>
        <w:t>.</w:t>
      </w:r>
    </w:p>
    <w:p w14:paraId="1592763B" w14:textId="48705BEA" w:rsidR="00CA5AA6" w:rsidRPr="00A465B4" w:rsidRDefault="00CA5AA6" w:rsidP="00C271F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E5D08">
        <w:rPr>
          <w:rFonts w:ascii="Arial" w:hAnsi="Arial" w:cs="Arial"/>
          <w:b/>
          <w:bCs/>
        </w:rPr>
        <w:t>Critérios estéticos do varejo</w:t>
      </w:r>
      <w:r w:rsidR="00A465B4">
        <w:rPr>
          <w:rFonts w:ascii="Arial" w:hAnsi="Arial" w:cs="Arial"/>
          <w:b/>
          <w:bCs/>
        </w:rPr>
        <w:t>:</w:t>
      </w:r>
      <w:r w:rsidRPr="007E5D08">
        <w:rPr>
          <w:rFonts w:ascii="Arial" w:hAnsi="Arial" w:cs="Arial"/>
        </w:rPr>
        <w:t xml:space="preserve"> frutas “imperfeitas” são descartadas apesar de comestíveis </w:t>
      </w:r>
      <w:r w:rsidR="00A465B4">
        <w:rPr>
          <w:rFonts w:ascii="Arial" w:hAnsi="Arial" w:cs="Arial"/>
        </w:rPr>
        <w:t>.</w:t>
      </w:r>
    </w:p>
    <w:p w14:paraId="5834DABB" w14:textId="588A1D89" w:rsidR="00CA5AA6" w:rsidRDefault="00CA5AA6" w:rsidP="00A465B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A465B4">
        <w:rPr>
          <w:rFonts w:ascii="Arial" w:hAnsi="Arial" w:cs="Arial"/>
          <w:b/>
          <w:bCs/>
        </w:rPr>
        <w:t>Falta de informação sobre armazenamento</w:t>
      </w:r>
      <w:r w:rsidR="00A465B4">
        <w:rPr>
          <w:rFonts w:ascii="Arial" w:hAnsi="Arial" w:cs="Arial"/>
          <w:b/>
          <w:bCs/>
        </w:rPr>
        <w:t>:</w:t>
      </w:r>
      <w:r w:rsidRPr="00A465B4">
        <w:rPr>
          <w:rFonts w:ascii="Arial" w:hAnsi="Arial" w:cs="Arial"/>
        </w:rPr>
        <w:t xml:space="preserve"> muitos alimentos estragam por armazenamento inadequado</w:t>
      </w:r>
      <w:r w:rsidR="00A465B4">
        <w:rPr>
          <w:rFonts w:ascii="Arial" w:hAnsi="Arial" w:cs="Arial"/>
        </w:rPr>
        <w:t>.</w:t>
      </w:r>
      <w:r w:rsidRPr="00A465B4">
        <w:rPr>
          <w:rFonts w:ascii="Arial" w:hAnsi="Arial" w:cs="Arial"/>
        </w:rPr>
        <w:t xml:space="preserve"> </w:t>
      </w:r>
    </w:p>
    <w:p w14:paraId="0D278A72" w14:textId="77777777" w:rsidR="00A465B4" w:rsidRPr="00A465B4" w:rsidRDefault="00A465B4" w:rsidP="00A465B4">
      <w:pPr>
        <w:rPr>
          <w:rFonts w:ascii="Arial" w:hAnsi="Arial" w:cs="Arial"/>
        </w:rPr>
      </w:pPr>
    </w:p>
    <w:p w14:paraId="7A3200B2" w14:textId="46F1D2D9" w:rsidR="00CA5AA6" w:rsidRPr="00485C70" w:rsidRDefault="00CA5AA6" w:rsidP="00C271F4">
      <w:pPr>
        <w:rPr>
          <w:rFonts w:ascii="Arial" w:hAnsi="Arial" w:cs="Arial"/>
          <w:b/>
          <w:bCs/>
          <w:sz w:val="28"/>
          <w:szCs w:val="28"/>
        </w:rPr>
      </w:pPr>
      <w:r w:rsidRPr="00485C70">
        <w:rPr>
          <w:rFonts w:ascii="Arial" w:hAnsi="Arial" w:cs="Arial"/>
          <w:b/>
          <w:bCs/>
          <w:sz w:val="28"/>
          <w:szCs w:val="28"/>
        </w:rPr>
        <w:t>Benefícios sociais e métricas de sucesso (como medir impacto do projeto)</w:t>
      </w:r>
    </w:p>
    <w:p w14:paraId="387585FB" w14:textId="33A99BA9" w:rsidR="00CA5AA6" w:rsidRPr="00485C70" w:rsidRDefault="00CA5AA6" w:rsidP="00485C7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85C70">
        <w:rPr>
          <w:rFonts w:ascii="Arial" w:hAnsi="Arial" w:cs="Arial"/>
        </w:rPr>
        <w:t>Redução percentual do descarte doméstico</w:t>
      </w:r>
      <w:r w:rsidR="00485C70" w:rsidRPr="00485C70">
        <w:rPr>
          <w:rFonts w:ascii="Arial" w:hAnsi="Arial" w:cs="Arial"/>
        </w:rPr>
        <w:t>.</w:t>
      </w:r>
    </w:p>
    <w:p w14:paraId="4BB4692A" w14:textId="03B27202" w:rsidR="00CA5AA6" w:rsidRPr="00485C70" w:rsidRDefault="00CA5AA6" w:rsidP="00485C7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85C70">
        <w:rPr>
          <w:rFonts w:ascii="Arial" w:hAnsi="Arial" w:cs="Arial"/>
        </w:rPr>
        <w:t>Aumento do uso de alimentos próximos ao vencimento</w:t>
      </w:r>
      <w:r w:rsidR="00485C70" w:rsidRPr="00485C70">
        <w:rPr>
          <w:rFonts w:ascii="Arial" w:hAnsi="Arial" w:cs="Arial"/>
        </w:rPr>
        <w:t>.</w:t>
      </w:r>
    </w:p>
    <w:p w14:paraId="4016451E" w14:textId="581AA885" w:rsidR="00CA5AA6" w:rsidRPr="00485C70" w:rsidRDefault="00CA5AA6" w:rsidP="00485C7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85C70">
        <w:rPr>
          <w:rFonts w:ascii="Arial" w:hAnsi="Arial" w:cs="Arial"/>
        </w:rPr>
        <w:t>Economia financeira para famílias</w:t>
      </w:r>
      <w:r w:rsidR="00485C70">
        <w:rPr>
          <w:rFonts w:ascii="Arial" w:hAnsi="Arial" w:cs="Arial"/>
        </w:rPr>
        <w:t>.</w:t>
      </w:r>
    </w:p>
    <w:p w14:paraId="7D3140C9" w14:textId="4091CD94" w:rsidR="00485C70" w:rsidRDefault="00CA5AA6" w:rsidP="00C271F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485C70">
        <w:rPr>
          <w:rFonts w:ascii="Arial" w:hAnsi="Arial" w:cs="Arial"/>
        </w:rPr>
        <w:t>Ganho ambiental (kgCO</w:t>
      </w:r>
      <w:r w:rsidRPr="00485C70">
        <w:rPr>
          <w:rFonts w:ascii="Cambria Math" w:hAnsi="Cambria Math" w:cs="Cambria Math"/>
        </w:rPr>
        <w:t>₂</w:t>
      </w:r>
      <w:r w:rsidRPr="00485C70">
        <w:rPr>
          <w:rFonts w:ascii="Arial" w:hAnsi="Arial" w:cs="Arial"/>
        </w:rPr>
        <w:t xml:space="preserve">e poupados por kg de alimento não desperdiçado </w:t>
      </w:r>
      <w:r w:rsidR="00485C70">
        <w:rPr>
          <w:rFonts w:ascii="Arial" w:hAnsi="Arial" w:cs="Arial"/>
        </w:rPr>
        <w:t>.</w:t>
      </w:r>
    </w:p>
    <w:p w14:paraId="27071A11" w14:textId="15ECCFF3" w:rsidR="0055616F" w:rsidRPr="0055616F" w:rsidRDefault="0055616F" w:rsidP="0055616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616F">
        <w:rPr>
          <w:rFonts w:ascii="Arial" w:hAnsi="Arial" w:cs="Arial"/>
        </w:rPr>
        <w:t>Vale ressaltar que diminuir o desperdício domiciliar de alimentos não irá salvar pessoas da fome, visto que isso exigiria mudanças a níveis globais de comportamento.</w:t>
      </w:r>
    </w:p>
    <w:p w14:paraId="722DDDD3" w14:textId="77777777" w:rsidR="00BD7624" w:rsidRPr="00BD7624" w:rsidRDefault="00BD7624" w:rsidP="00BD7624">
      <w:pPr>
        <w:pStyle w:val="PargrafodaLista"/>
        <w:rPr>
          <w:rFonts w:ascii="Arial" w:hAnsi="Arial" w:cs="Arial"/>
        </w:rPr>
      </w:pPr>
    </w:p>
    <w:p w14:paraId="3BD10D74" w14:textId="4F9BAEE6" w:rsidR="00CA5AA6" w:rsidRPr="00485C70" w:rsidRDefault="00CA5AA6" w:rsidP="00C271F4">
      <w:pPr>
        <w:rPr>
          <w:rFonts w:ascii="Arial" w:hAnsi="Arial" w:cs="Arial"/>
          <w:b/>
          <w:bCs/>
          <w:sz w:val="28"/>
          <w:szCs w:val="28"/>
        </w:rPr>
      </w:pPr>
      <w:r w:rsidRPr="00485C70">
        <w:rPr>
          <w:rFonts w:ascii="Arial" w:hAnsi="Arial" w:cs="Arial"/>
          <w:b/>
          <w:bCs/>
          <w:sz w:val="28"/>
          <w:szCs w:val="28"/>
        </w:rPr>
        <w:t>Limitações e desafios técnicos</w:t>
      </w:r>
    </w:p>
    <w:p w14:paraId="5EAB5B6B" w14:textId="22919868" w:rsidR="00CA5AA6" w:rsidRPr="00485C70" w:rsidRDefault="00CA5AA6" w:rsidP="00485C7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85C70">
        <w:rPr>
          <w:rFonts w:ascii="Arial" w:hAnsi="Arial" w:cs="Arial"/>
          <w:b/>
          <w:bCs/>
        </w:rPr>
        <w:t>Variabilidade visual:</w:t>
      </w:r>
      <w:r w:rsidRPr="00485C70">
        <w:rPr>
          <w:rFonts w:ascii="Arial" w:hAnsi="Arial" w:cs="Arial"/>
        </w:rPr>
        <w:t xml:space="preserve"> iluminação, ângulo, câmera, variedade da fruta (ex.: banana verde vs. banana prata), presença de sujeira ou cortes — exigem dataset grande e diversificado. </w:t>
      </w:r>
    </w:p>
    <w:p w14:paraId="6EDF1047" w14:textId="38C3CFE9" w:rsidR="00CA5AA6" w:rsidRPr="00485C70" w:rsidRDefault="00CA5AA6" w:rsidP="00485C7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85C70">
        <w:rPr>
          <w:rFonts w:ascii="Arial" w:hAnsi="Arial" w:cs="Arial"/>
          <w:b/>
          <w:bCs/>
        </w:rPr>
        <w:lastRenderedPageBreak/>
        <w:t>Definição de “ainda bom” vs. “impróprio”:</w:t>
      </w:r>
      <w:r w:rsidRPr="00485C70">
        <w:rPr>
          <w:rFonts w:ascii="Arial" w:hAnsi="Arial" w:cs="Arial"/>
        </w:rPr>
        <w:t xml:space="preserve"> avaliação visual não captura certos riscos microbianos que não se manifestam visualmente. </w:t>
      </w:r>
    </w:p>
    <w:p w14:paraId="081A5209" w14:textId="2286266D" w:rsidR="00830664" w:rsidRPr="00485C70" w:rsidRDefault="00CA5AA6" w:rsidP="00485C70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85C70">
        <w:rPr>
          <w:rFonts w:ascii="Arial" w:hAnsi="Arial" w:cs="Arial"/>
          <w:b/>
          <w:bCs/>
        </w:rPr>
        <w:t>Generalização do modelo:</w:t>
      </w:r>
      <w:r w:rsidRPr="00485C70">
        <w:rPr>
          <w:rFonts w:ascii="Arial" w:hAnsi="Arial" w:cs="Arial"/>
        </w:rPr>
        <w:t xml:space="preserve"> modelos treinados em um conjunto limitado podem falhar em novas variedades ou em condições diferentes — precisa validação e rotulagem cuidadosa.</w:t>
      </w:r>
    </w:p>
    <w:sectPr w:rsidR="00830664" w:rsidRPr="00485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824"/>
    <w:multiLevelType w:val="hybridMultilevel"/>
    <w:tmpl w:val="2CA04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F2560"/>
    <w:multiLevelType w:val="hybridMultilevel"/>
    <w:tmpl w:val="13785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861A4"/>
    <w:multiLevelType w:val="hybridMultilevel"/>
    <w:tmpl w:val="2E2A8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27850">
    <w:abstractNumId w:val="2"/>
  </w:num>
  <w:num w:numId="2" w16cid:durableId="849294216">
    <w:abstractNumId w:val="1"/>
  </w:num>
  <w:num w:numId="3" w16cid:durableId="167106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79"/>
    <w:rsid w:val="000406DB"/>
    <w:rsid w:val="00141331"/>
    <w:rsid w:val="001A2EE4"/>
    <w:rsid w:val="001E1358"/>
    <w:rsid w:val="002D05FB"/>
    <w:rsid w:val="002D0A2E"/>
    <w:rsid w:val="00453C11"/>
    <w:rsid w:val="00474A96"/>
    <w:rsid w:val="00485C70"/>
    <w:rsid w:val="004A2B15"/>
    <w:rsid w:val="004B02B1"/>
    <w:rsid w:val="005220A2"/>
    <w:rsid w:val="0055616F"/>
    <w:rsid w:val="007E5D08"/>
    <w:rsid w:val="00830664"/>
    <w:rsid w:val="0089421D"/>
    <w:rsid w:val="00A465B4"/>
    <w:rsid w:val="00B11FA7"/>
    <w:rsid w:val="00BD7624"/>
    <w:rsid w:val="00C0172B"/>
    <w:rsid w:val="00C271F4"/>
    <w:rsid w:val="00CA5AA6"/>
    <w:rsid w:val="00CB1DF0"/>
    <w:rsid w:val="00D6213D"/>
    <w:rsid w:val="00EA2EBA"/>
    <w:rsid w:val="00EE4668"/>
    <w:rsid w:val="00F7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49F7"/>
  <w15:chartTrackingRefBased/>
  <w15:docId w15:val="{AFE4ED27-FD3F-45B2-91C8-D1966BDF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8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8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8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8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8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8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8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8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8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8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20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20A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220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news.com/article/united-nations-food-waste-report-2024-18018b352ac6bd7be9925e15511254a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rworldindata.org/food-waste-emissions" TargetMode="External"/><Relationship Id="rId11" Type="http://schemas.openxmlformats.org/officeDocument/2006/relationships/hyperlink" Target="https://www.sciencedirect.com/science/article/pii/S2772375525003612" TargetMode="External"/><Relationship Id="rId5" Type="http://schemas.openxmlformats.org/officeDocument/2006/relationships/hyperlink" Target="https://www.fao.org/4/mb060e/mb060e00.ht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agenciadenoticias.ibge.gov.br/en/agencia-news/2184-news-agency/news/39857-food-security-in-brazilian-households-increases-in-202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687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Queiroz</dc:creator>
  <cp:keywords/>
  <dc:description/>
  <cp:lastModifiedBy>Vinicius Queiroz</cp:lastModifiedBy>
  <cp:revision>21</cp:revision>
  <cp:lastPrinted>2025-11-27T13:20:00Z</cp:lastPrinted>
  <dcterms:created xsi:type="dcterms:W3CDTF">2025-11-27T12:29:00Z</dcterms:created>
  <dcterms:modified xsi:type="dcterms:W3CDTF">2025-11-27T13:23:00Z</dcterms:modified>
</cp:coreProperties>
</file>