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7f4ntbryq0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Capítulo 5: O Desempenho de Sistemas de Controle com Realimentação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hh408z25xl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Resumo Estruturado e Análise Aprofundada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Capítulo 5 move a análise de controle de uma perspectiva puramente estrutural (Cap. 4: </w:t>
      </w:r>
      <w:r w:rsidDel="00000000" w:rsidR="00000000" w:rsidRPr="00000000">
        <w:rPr>
          <w:i w:val="1"/>
          <w:rtl w:val="0"/>
        </w:rPr>
        <w:t xml:space="preserve">Por que usar a realimentação?</w:t>
      </w:r>
      <w:r w:rsidDel="00000000" w:rsidR="00000000" w:rsidRPr="00000000">
        <w:rPr>
          <w:rtl w:val="0"/>
        </w:rPr>
        <w:t xml:space="preserve">) para uma perspectiva quantitativa e de projeto (</w:t>
      </w:r>
      <w:r w:rsidDel="00000000" w:rsidR="00000000" w:rsidRPr="00000000">
        <w:rPr>
          <w:i w:val="1"/>
          <w:rtl w:val="0"/>
        </w:rPr>
        <w:t xml:space="preserve">Quão bem a realimentação funciona?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u6dcz5hjq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1.1. Especificações de Desempenho no Domínio do Tempo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controle é um sistema dinâmico, e seu desempenho é definido em termos de </w:t>
      </w:r>
      <w:r w:rsidDel="00000000" w:rsidR="00000000" w:rsidRPr="00000000">
        <w:rPr>
          <w:b w:val="1"/>
          <w:rtl w:val="0"/>
        </w:rPr>
        <w:t xml:space="preserve">resposta transitória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regime estacionário</w:t>
      </w:r>
      <w:r w:rsidDel="00000000" w:rsidR="00000000" w:rsidRPr="00000000">
        <w:rPr>
          <w:rtl w:val="0"/>
        </w:rPr>
        <w:t xml:space="preserve">.</w:t>
        <w:br w:type="textWrapping"/>
        <w:t xml:space="preserve">As métricas são geralmente avaliadas para uma </w:t>
      </w:r>
      <w:r w:rsidDel="00000000" w:rsidR="00000000" w:rsidRPr="00000000">
        <w:rPr>
          <w:b w:val="1"/>
          <w:rtl w:val="0"/>
        </w:rPr>
        <w:t xml:space="preserve">entrada em degrau</w:t>
      </w:r>
      <w:r w:rsidDel="00000000" w:rsidR="00000000" w:rsidRPr="00000000">
        <w:rPr>
          <w:rtl w:val="0"/>
        </w:rPr>
        <w:t xml:space="preserve">, por ser simples e representativa.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7n22x7faq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Destaques da Resposta Transitória (Medidas de Velocidade e Oscilação):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de Subida (Tr):</w:t>
      </w:r>
      <w:r w:rsidDel="00000000" w:rsidR="00000000" w:rsidRPr="00000000">
        <w:rPr>
          <w:rtl w:val="0"/>
        </w:rPr>
        <w:t xml:space="preserve"> Mede a velocidade de resposta (0–100% ou 10–90% do valor final).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Instante de Pico (Tp):</w:t>
      </w:r>
      <w:r w:rsidDel="00000000" w:rsidR="00000000" w:rsidRPr="00000000">
        <w:rPr>
          <w:rtl w:val="0"/>
        </w:rPr>
        <w:t xml:space="preserve"> Tempo até o primeiro pico da resposta.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Máxima Ultrapassagem Percentual (M.U.P.):</w:t>
      </w:r>
      <w:r w:rsidDel="00000000" w:rsidR="00000000" w:rsidRPr="00000000">
        <w:rPr>
          <w:rtl w:val="0"/>
        </w:rPr>
        <w:t xml:space="preserve"> Mede a natureza oscilatória e a estabilidade relativa do sistema.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M.U.P.=100e−ζπ1−ζ2M.U.P.=100e1−ζ2​−ζπ​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Tempo de Acomodação (Ts):</w:t>
      </w:r>
      <w:r w:rsidDel="00000000" w:rsidR="00000000" w:rsidRPr="00000000">
        <w:rPr>
          <w:rtl w:val="0"/>
        </w:rPr>
        <w:t xml:space="preserve"> Tempo para a resposta permanecer dentro de uma faixa de ±2% do valor final.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T_s = \frac{4}{\zeta \omega_n} \quad \text{(Critério de 2%)}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Observação:</w:t>
      </w:r>
      <w:r w:rsidDel="00000000" w:rsidR="00000000" w:rsidRPr="00000000">
        <w:rPr>
          <w:rtl w:val="0"/>
        </w:rPr>
        <w:t xml:space="preserve"> O valor é determinado pela </w:t>
      </w:r>
      <w:r w:rsidDel="00000000" w:rsidR="00000000" w:rsidRPr="00000000">
        <w:rPr>
          <w:b w:val="1"/>
          <w:rtl w:val="0"/>
        </w:rPr>
        <w:t xml:space="preserve">constante de tempo</w:t>
      </w:r>
      <w:r w:rsidDel="00000000" w:rsidR="00000000" w:rsidRPr="00000000">
        <w:rPr>
          <w:rtl w:val="0"/>
        </w:rPr>
        <w:t xml:space="preserve"> das raízes dominantes.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Ponto-Chave:</w:t>
      </w:r>
      <w:r w:rsidDel="00000000" w:rsidR="00000000" w:rsidRPr="00000000">
        <w:rPr>
          <w:rtl w:val="0"/>
        </w:rPr>
        <w:t xml:space="preserve"> O projeto de controle envolve compromisso: aumentar a velocidade de resposta (ωₙ alto ou ζ baixo) aumenta a M.U.P.</w:t>
        <w:br w:type="textWrapping"/>
        <w:t xml:space="preserve">Um bom ponto de equilíbrio é: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ζ≈0.707(M.U.P.≈4.3%)ζ≈0.707(M.U.P.≈4.3%)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dmb5ehwdg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1.2. O Significado Geométrico dos Polos (Plano-s)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capítulo correlaciona as </w:t>
      </w:r>
      <w:r w:rsidDel="00000000" w:rsidR="00000000" w:rsidRPr="00000000">
        <w:rPr>
          <w:b w:val="1"/>
          <w:rtl w:val="0"/>
        </w:rPr>
        <w:t xml:space="preserve">especificações de desempenho</w:t>
      </w:r>
      <w:r w:rsidDel="00000000" w:rsidR="00000000" w:rsidRPr="00000000">
        <w:rPr>
          <w:rtl w:val="0"/>
        </w:rPr>
        <w:t xml:space="preserve"> com a </w:t>
      </w:r>
      <w:r w:rsidDel="00000000" w:rsidR="00000000" w:rsidRPr="00000000">
        <w:rPr>
          <w:b w:val="1"/>
          <w:rtl w:val="0"/>
        </w:rPr>
        <w:t xml:space="preserve">posição dos polos dominantes</w:t>
      </w:r>
      <w:r w:rsidDel="00000000" w:rsidR="00000000" w:rsidRPr="00000000">
        <w:rPr>
          <w:rtl w:val="0"/>
        </w:rPr>
        <w:t xml:space="preserve"> no plano-s.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Eixo Real (σ):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 decaimento da resposta é determinado pela parte real do polo (−ζωₙ).</w:t>
        <w:br w:type="textWrapping"/>
        <w:t xml:space="preserve">Quanto mais à esquerda, mais rápida é a resposta.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Ts∝1σTs​∝σ1​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Eixo Imaginário (jω):</w:t>
      </w:r>
      <w:r w:rsidDel="00000000" w:rsidR="00000000" w:rsidRPr="00000000">
        <w:rPr>
          <w:rtl w:val="0"/>
        </w:rPr>
        <w:t xml:space="preserve"> A frequência de oscilação amortecida é: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ωd=ωn1−ζ2ωd​=ωn​1−ζ2​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Ângulo e Amortecimento:</w:t>
      </w:r>
      <w:r w:rsidDel="00000000" w:rsidR="00000000" w:rsidRPr="00000000">
        <w:rPr>
          <w:rtl w:val="0"/>
        </w:rPr>
        <w:t xml:space="preserve"> O fator de amortecimento (ζ) é o </w:t>
      </w:r>
      <w:r w:rsidDel="00000000" w:rsidR="00000000" w:rsidRPr="00000000">
        <w:rPr>
          <w:b w:val="1"/>
          <w:rtl w:val="0"/>
        </w:rPr>
        <w:t xml:space="preserve">cosseno do ângulo</w:t>
      </w:r>
      <w:r w:rsidDel="00000000" w:rsidR="00000000" w:rsidRPr="00000000">
        <w:rPr>
          <w:rtl w:val="0"/>
        </w:rPr>
        <w:t xml:space="preserve"> entre o polo e o eixo imaginário.</w:t>
        <w:br w:type="textWrapping"/>
        <w:t xml:space="preserve">Assim, especificar a M.U.P. equivale a definir uma </w:t>
      </w:r>
      <w:r w:rsidDel="00000000" w:rsidR="00000000" w:rsidRPr="00000000">
        <w:rPr>
          <w:b w:val="1"/>
          <w:rtl w:val="0"/>
        </w:rPr>
        <w:t xml:space="preserve">região angular</w:t>
      </w:r>
      <w:r w:rsidDel="00000000" w:rsidR="00000000" w:rsidRPr="00000000">
        <w:rPr>
          <w:rtl w:val="0"/>
        </w:rPr>
        <w:t xml:space="preserve"> no plano-s.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ef49pty5zh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1.3. Erro em Regime Estacionário e Tipo de Sistema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erro em regime estacionário (e_{ss})</w:t>
      </w:r>
      <w:r w:rsidDel="00000000" w:rsidR="00000000" w:rsidRPr="00000000">
        <w:rPr>
          <w:rtl w:val="0"/>
        </w:rPr>
        <w:t xml:space="preserve"> mede a </w:t>
      </w:r>
      <w:r w:rsidDel="00000000" w:rsidR="00000000" w:rsidRPr="00000000">
        <w:rPr>
          <w:b w:val="1"/>
          <w:rtl w:val="0"/>
        </w:rPr>
        <w:t xml:space="preserve">exatidão</w:t>
      </w:r>
      <w:r w:rsidDel="00000000" w:rsidR="00000000" w:rsidRPr="00000000">
        <w:rPr>
          <w:rtl w:val="0"/>
        </w:rPr>
        <w:t xml:space="preserve"> do sistema.</w:t>
        <w:br w:type="textWrapping"/>
        <w:t xml:space="preserve">Ele depende do </w:t>
      </w:r>
      <w:r w:rsidDel="00000000" w:rsidR="00000000" w:rsidRPr="00000000">
        <w:rPr>
          <w:b w:val="1"/>
          <w:rtl w:val="0"/>
        </w:rPr>
        <w:t xml:space="preserve">Tipo Numérico (N)</w:t>
      </w:r>
      <w:r w:rsidDel="00000000" w:rsidR="00000000" w:rsidRPr="00000000">
        <w:rPr>
          <w:rtl w:val="0"/>
        </w:rPr>
        <w:t xml:space="preserve"> — o número de integrações (polos em s = 0) na função de malha aberta: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L(s)=Gc(s) G(s)L(s)=Gc​(s)G(s)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savchdtdd4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Constantes e Erros Típicos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395"/>
        <w:gridCol w:w="1050"/>
        <w:gridCol w:w="2310"/>
        <w:gridCol w:w="1845"/>
        <w:gridCol w:w="1380"/>
        <w:gridCol w:w="1380"/>
        <w:tblGridChange w:id="0">
          <w:tblGrid>
            <w:gridCol w:w="1395"/>
            <w:gridCol w:w="1050"/>
            <w:gridCol w:w="2310"/>
            <w:gridCol w:w="1845"/>
            <w:gridCol w:w="1380"/>
            <w:gridCol w:w="138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Entrada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Constante de Erro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0 (N=0)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1 (N=1)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2 (N=2)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Degrau 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AssA​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Kp=lim⁡s→0L(s)Kp​=lims→0​L(s)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ess=A1+Kpess​=1+Kp​A​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ess=0ess​=0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ess=0ess​=0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Rampa (At)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As2s2A​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Kv=lim⁡s→0sL(s)Kv​=lims→0​sL(s)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ess=∞ess​=∞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ess=AKvess​=Kv​A​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ess=0ess​=0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Parábola (At²/2)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As3s3A​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Ka=lim⁡s→0s2L(s)Ka​=lims→0​s2L(s)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ess=∞ess​=∞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ess=∞ess​=∞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ess=AKaess​=Ka​A​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Ponto-Chave:</w:t>
      </w:r>
      <w:r w:rsidDel="00000000" w:rsidR="00000000" w:rsidRPr="00000000">
        <w:rPr>
          <w:rtl w:val="0"/>
        </w:rPr>
        <w:t xml:space="preserve"> Para eliminar o erro em regime estacionário, o controlador deve ter </w:t>
      </w:r>
      <w:r w:rsidDel="00000000" w:rsidR="00000000" w:rsidRPr="00000000">
        <w:rPr>
          <w:b w:val="1"/>
          <w:rtl w:val="0"/>
        </w:rPr>
        <w:t xml:space="preserve">número suficiente de integradores</w:t>
      </w:r>
      <w:r w:rsidDel="00000000" w:rsidR="00000000" w:rsidRPr="00000000">
        <w:rPr>
          <w:rtl w:val="0"/>
        </w:rPr>
        <w:t xml:space="preserve">.</w:t>
        <w:br w:type="textWrapping"/>
        <w:t xml:space="preserve">Exemplo: Para rastrear uma rampa com erro finito, o sistema deve ser </w:t>
      </w:r>
      <w:r w:rsidDel="00000000" w:rsidR="00000000" w:rsidRPr="00000000">
        <w:rPr>
          <w:b w:val="1"/>
          <w:rtl w:val="0"/>
        </w:rPr>
        <w:t xml:space="preserve">pelo menos Tipo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6ioq9yo51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1.4. Índices de Desempenho e Controle Ótimo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projeto de controle moderno quantifica o desempenho via </w:t>
      </w:r>
      <w:r w:rsidDel="00000000" w:rsidR="00000000" w:rsidRPr="00000000">
        <w:rPr>
          <w:b w:val="1"/>
          <w:rtl w:val="0"/>
        </w:rPr>
        <w:t xml:space="preserve">índices de desempenho (performance indices)</w:t>
      </w:r>
      <w:r w:rsidDel="00000000" w:rsidR="00000000" w:rsidRPr="00000000">
        <w:rPr>
          <w:rtl w:val="0"/>
        </w:rPr>
        <w:t xml:space="preserve">, usados para determinar o </w:t>
      </w:r>
      <w:r w:rsidDel="00000000" w:rsidR="00000000" w:rsidRPr="00000000">
        <w:rPr>
          <w:b w:val="1"/>
          <w:rtl w:val="0"/>
        </w:rPr>
        <w:t xml:space="preserve">controle ótimo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Integral do Erro Quadrático (ISE):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ISE=∫0Te2(t) dtISE=∫0T​e2(t)dt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Integral do Tempo Multiplicado pelo Erro Absoluto (ITAE):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ITAE=∫0Tt ∣e(t)∣ dtITAE=∫0T​t∣e(t)∣dt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Ponto-Chave:</w:t>
      </w:r>
      <w:r w:rsidDel="00000000" w:rsidR="00000000" w:rsidRPr="00000000">
        <w:rPr>
          <w:rtl w:val="0"/>
        </w:rPr>
        <w:t xml:space="preserve"> O índice escolhido afeta o comportamento “ótimo”.</w:t>
        <w:br w:type="textWrapping"/>
        <w:t xml:space="preserve">Exemplo: minimizar o ITAE favorece </w:t>
      </w:r>
      <w:r w:rsidDel="00000000" w:rsidR="00000000" w:rsidRPr="00000000">
        <w:rPr>
          <w:b w:val="1"/>
          <w:rtl w:val="0"/>
        </w:rPr>
        <w:t xml:space="preserve">respostas rápidas e suaves</w:t>
      </w:r>
      <w:r w:rsidDel="00000000" w:rsidR="00000000" w:rsidRPr="00000000">
        <w:rPr>
          <w:rtl w:val="0"/>
        </w:rPr>
        <w:t xml:space="preserve">, enquanto o ISE reduz </w:t>
      </w:r>
      <w:r w:rsidDel="00000000" w:rsidR="00000000" w:rsidRPr="00000000">
        <w:rPr>
          <w:b w:val="1"/>
          <w:rtl w:val="0"/>
        </w:rPr>
        <w:t xml:space="preserve">erros grandes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bjetf4n95k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 Conexão com Aplicações Industriais 4.0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445"/>
        <w:gridCol w:w="2045"/>
        <w:gridCol w:w="5870"/>
        <w:tblGridChange w:id="0">
          <w:tblGrid>
            <w:gridCol w:w="1445"/>
            <w:gridCol w:w="2045"/>
            <w:gridCol w:w="5870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Conceito do Cap.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Tecnologia I4.0 Relacionada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Conexão / Aplicação Prática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M.U.P. e 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Digital Twin / Simulação de Comissionamento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Garante que os controladores (PID/MPC) atinjam as especificações antes da implantação. A simulação da resposta ao degrau define o desempenho transiente ideal.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eₛₛ e Tipo de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MES (Manufacturing Execution System) / Qualidade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Um sistema de Tipo 1 (ou superior) garante erro estacionário nulo — essencial para manter a qualidade (temperatura, espessura, mistura).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Índices ITAE / 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APC (Advanced Process Control) / Otimização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Controladores MPC usam funções de custo baseadas nesses índices, otimizando desempenho e economia de recursos.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Polos Dominantes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i w:val="1"/>
                <w:rtl w:val="0"/>
              </w:rPr>
              <w:t xml:space="preserve">Diagnóstico e Análise Preditiva (IIoT)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O monitoramento da posição dos polos permite prever falhas: polos próximos ao eixo </w:t>
            </w:r>
            <w:r w:rsidDel="00000000" w:rsidR="00000000" w:rsidRPr="00000000">
              <w:rPr>
                <w:i w:val="1"/>
                <w:rtl w:val="0"/>
              </w:rPr>
              <w:t xml:space="preserve">jω</w:t>
            </w:r>
            <w:r w:rsidDel="00000000" w:rsidR="00000000" w:rsidRPr="00000000">
              <w:rPr>
                <w:rtl w:val="0"/>
              </w:rPr>
              <w:t xml:space="preserve"> indicam perda de amortecimento.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