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83F5E"/>
          <w:sz w:val="26"/>
          <w:szCs w:val="26"/>
        </w:rPr>
        <w:t xml:space="preserve">ADITIVO CONTRATUAL — SUPORTE ESTENDIDO</w:t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5C6E8C"/>
          <w:sz w:val="19"/>
          <w:szCs w:val="19"/>
        </w:rPr>
        <w:t xml:space="preserve">Ao Contrato de Licença de Uso de Software e de Prestação de Serviços de Suporte — Sistema "Prestare — Gestão"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CONTRATANTE:</w:t>
      </w:r>
      <w:r>
        <w:rPr>
          <w:rFonts w:ascii="Calibri" w:cs="Calibri" w:eastAsia="Calibri" w:hAnsi="Calibri"/>
          <w:sz w:val="22"/>
          <w:szCs w:val="22"/>
        </w:rPr>
        <w:t xml:space="preserve"> CONDOMÍNIO EDIFÍCIO VEREDAS DO SOL, CNPJ nº ____________________, com sede na Rua Alagoas, nº 724, Centro, Catanduva/SP, neste ato representado por seu(sua) síndico(a), Sr(a). ________________________________, CPF nº ________________.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CONTRATADA:</w:t>
      </w:r>
      <w:r>
        <w:rPr>
          <w:rFonts w:ascii="Calibri" w:cs="Calibri" w:eastAsia="Calibri" w:hAnsi="Calibri"/>
          <w:sz w:val="22"/>
          <w:szCs w:val="22"/>
        </w:rPr>
        <w:t xml:space="preserve"> PRESTARE GESTÃO CONDOMINIAL INTELIGENTE LTDA-ME, com sede na Rua Maranhão, nº 1368, Sala 30, 3º andar, Centro, Catanduva/SP, CNPJ nº 09.195.104/0001-73, neste ato representada por suas sócias proprietárias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ERIKA AUGUSTA VILELA</w:t>
      </w:r>
      <w:r>
        <w:rPr>
          <w:rFonts w:ascii="Calibri" w:cs="Calibri" w:eastAsia="Calibri" w:hAnsi="Calibri"/>
          <w:sz w:val="22"/>
          <w:szCs w:val="22"/>
        </w:rPr>
        <w:t xml:space="preserve">, CPF 247.847.728-98, 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ANA GLAUCIA DAMIAN TORRECILHAS</w:t>
      </w:r>
      <w:r>
        <w:rPr>
          <w:rFonts w:ascii="Calibri" w:cs="Calibri" w:eastAsia="Calibri" w:hAnsi="Calibri"/>
          <w:sz w:val="22"/>
          <w:szCs w:val="22"/>
        </w:rPr>
        <w:t xml:space="preserve">, CPF 312.961.648-96.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As partes acima qualificadas celebraram, em ___/___/______, o Contrato de Licença de Uso de Software e de Prestação de Serviços de Suporte relativo ao sistema "Prestare — Gestão" ("Contrato Principal") e, de comum acordo, firmam o presente Aditivo, que passa a integrá-lo:</w:t>
      </w:r>
    </w:p>
    <w:p>
      <w:pPr>
        <w:keepNext/>
        <w:spacing w:after="110" w:before="240" w:line="276"/>
      </w:pPr>
      <w:r>
        <w:rPr>
          <w:rFonts w:ascii="Calibri" w:cs="Calibri" w:eastAsia="Calibri" w:hAnsi="Calibri"/>
          <w:b/>
          <w:bCs/>
          <w:color w:val="083F5E"/>
          <w:sz w:val="22"/>
          <w:szCs w:val="22"/>
        </w:rPr>
        <w:t xml:space="preserve">CLÁUSULA PRIMEIRA — DO OBJETO</w:t>
      </w:r>
    </w:p>
    <w:p>
      <w:pPr>
        <w:spacing w:after="100" w:line="276"/>
        <w:ind w:left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1.1. Este Aditivo tem por objeto a contratação do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Suporte Estendido</w:t>
      </w:r>
      <w:r>
        <w:rPr>
          <w:rFonts w:ascii="Calibri" w:cs="Calibri" w:eastAsia="Calibri" w:hAnsi="Calibri"/>
          <w:sz w:val="22"/>
          <w:szCs w:val="22"/>
        </w:rPr>
        <w:t xml:space="preserve">, modalidade opcional que amplia a janela de atendimento prevista no item 4.3 do Contrato Principal.</w:t>
      </w:r>
    </w:p>
    <w:p>
      <w:pPr>
        <w:spacing w:after="100" w:line="276"/>
        <w:ind w:left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1.2. Contratado o Suporte Estendido, o atendimento passa a ser prestado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todos os dias da semana, das 7h às 22h, inclusive aos sábados, domingos e feriados</w:t>
      </w:r>
      <w:r>
        <w:rPr>
          <w:rFonts w:ascii="Calibri" w:cs="Calibri" w:eastAsia="Calibri" w:hAnsi="Calibri"/>
          <w:sz w:val="22"/>
          <w:szCs w:val="22"/>
        </w:rPr>
        <w:t xml:space="preserve">, pelos canais oficiais informados à CONTRATANTE — telefone, WhatsApp corporativo e e-mail —, em substituição à janela padrão de segunda a sexta-feira, das 8h às 18h.</w:t>
      </w:r>
    </w:p>
    <w:p>
      <w:pPr>
        <w:keepNext/>
        <w:spacing w:after="110" w:before="240" w:line="276"/>
      </w:pPr>
      <w:r>
        <w:rPr>
          <w:rFonts w:ascii="Calibri" w:cs="Calibri" w:eastAsia="Calibri" w:hAnsi="Calibri"/>
          <w:b/>
          <w:bCs/>
          <w:color w:val="083F5E"/>
          <w:sz w:val="22"/>
          <w:szCs w:val="22"/>
        </w:rPr>
        <w:t xml:space="preserve">CLÁUSULA SEGUNDA — DOS PRAZOS DE RESPOSTA</w:t>
      </w:r>
    </w:p>
    <w:p>
      <w:pPr>
        <w:spacing w:after="100" w:line="276"/>
        <w:ind w:left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2.1. Dentro da janela do item 1.2, os prazos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primeira resposta</w:t>
      </w:r>
      <w:r>
        <w:rPr>
          <w:rFonts w:ascii="Calibri" w:cs="Calibri" w:eastAsia="Calibri" w:hAnsi="Calibri"/>
          <w:sz w:val="22"/>
          <w:szCs w:val="22"/>
        </w:rPr>
        <w:t xml:space="preserve"> passam a ser: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crítico</w:t>
      </w:r>
      <w:r>
        <w:rPr>
          <w:rFonts w:ascii="Calibri" w:cs="Calibri" w:eastAsia="Calibri" w:hAnsi="Calibri"/>
          <w:sz w:val="22"/>
          <w:szCs w:val="22"/>
        </w:rPr>
        <w:t xml:space="preserve"> (sistema totalmente indisponível ou impossibilidade de registrar entradas e saídas na portaria), até 2 (duas) horas;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alto</w:t>
      </w:r>
      <w:r>
        <w:rPr>
          <w:rFonts w:ascii="Calibri" w:cs="Calibri" w:eastAsia="Calibri" w:hAnsi="Calibri"/>
          <w:sz w:val="22"/>
          <w:szCs w:val="22"/>
        </w:rPr>
        <w:t xml:space="preserve"> (módulo essencial indisponível, havendo forma alternativa de operação), até 4 (quatro) horas;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normal</w:t>
      </w:r>
      <w:r>
        <w:rPr>
          <w:rFonts w:ascii="Calibri" w:cs="Calibri" w:eastAsia="Calibri" w:hAnsi="Calibri"/>
          <w:sz w:val="22"/>
          <w:szCs w:val="22"/>
        </w:rPr>
        <w:t xml:space="preserve"> (dúvidas de uso, relatórios, ajustes de cadastro e solicitações de melhoria), até 12 (doze) horas — contadas sempre dentro da janela de atendimento.</w:t>
      </w:r>
    </w:p>
    <w:p>
      <w:pPr>
        <w:spacing w:after="100" w:line="276"/>
        <w:ind w:left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2.2. Os prazos referem-se ao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tempo de primeira resposta e não ao prazo de solução</w:t>
      </w:r>
      <w:r>
        <w:rPr>
          <w:rFonts w:ascii="Calibri" w:cs="Calibri" w:eastAsia="Calibri" w:hAnsi="Calibri"/>
          <w:sz w:val="22"/>
          <w:szCs w:val="22"/>
        </w:rPr>
        <w:t xml:space="preserve">. Solicitações recebidas entre 22h e 7h têm seus prazos contados a partir da abertura da janela seguinte.</w:t>
      </w:r>
    </w:p>
    <w:p>
      <w:pPr>
        <w:spacing w:after="100" w:line="276"/>
        <w:ind w:left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2.3. O descumprimento pontual dos prazos deste Aditivo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não configura justa causa para rescisão</w:t>
      </w:r>
      <w:r>
        <w:rPr>
          <w:rFonts w:ascii="Calibri" w:cs="Calibri" w:eastAsia="Calibri" w:hAnsi="Calibri"/>
          <w:sz w:val="22"/>
          <w:szCs w:val="22"/>
        </w:rPr>
        <w:t xml:space="preserve">, aplicando-se o item 7.6 do Contrato Principal.</w:t>
      </w:r>
    </w:p>
    <w:p>
      <w:pPr>
        <w:keepNext/>
        <w:spacing w:after="110" w:before="240" w:line="276"/>
      </w:pPr>
      <w:r>
        <w:rPr>
          <w:rFonts w:ascii="Calibri" w:cs="Calibri" w:eastAsia="Calibri" w:hAnsi="Calibri"/>
          <w:b/>
          <w:bCs/>
          <w:color w:val="083F5E"/>
          <w:sz w:val="22"/>
          <w:szCs w:val="22"/>
        </w:rPr>
        <w:t xml:space="preserve">CLÁUSULA TERCEIRA — DO QUE NÃO ESTÁ INCLUÍDO</w:t>
      </w:r>
    </w:p>
    <w:p>
      <w:pPr>
        <w:spacing w:after="100" w:line="276"/>
        <w:ind w:left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3.1. O Suporte Estendido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não constitui plantão 24 horas</w:t>
      </w:r>
      <w:r>
        <w:rPr>
          <w:rFonts w:ascii="Calibri" w:cs="Calibri" w:eastAsia="Calibri" w:hAnsi="Calibri"/>
          <w:sz w:val="22"/>
          <w:szCs w:val="22"/>
        </w:rPr>
        <w:t xml:space="preserve">: não há atendimento entre 22h e 7h.</w:t>
      </w:r>
    </w:p>
    <w:p>
      <w:pPr>
        <w:spacing w:after="100" w:line="276"/>
        <w:ind w:left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3.2. Permanecem fora do escopo, tal como no Contrato Principal: equipamentos e infraestrutura — terminais de reconhecimento facial, catracas, fechaduras, portões, câmeras, computadores, rede e internet —, de responsabilidade exclusiva da CONTRATANTE; e os treinamentos, que seguem o regime do item 3.2 do Contrato Principal. Chamados recorrentes decorrentes de falta de capacitação da equipe poderão ser encaminhados para treinamento, orçado à parte.</w:t>
      </w:r>
    </w:p>
    <w:p>
      <w:pPr>
        <w:spacing w:after="100" w:line="276"/>
        <w:ind w:left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3.3. Este Aditivo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não altera</w:t>
      </w:r>
      <w:r>
        <w:rPr>
          <w:rFonts w:ascii="Calibri" w:cs="Calibri" w:eastAsia="Calibri" w:hAnsi="Calibri"/>
          <w:sz w:val="22"/>
          <w:szCs w:val="22"/>
        </w:rPr>
        <w:t xml:space="preserve"> a natureza do sistema como ferramenta de apoio (item 4.4), as exclusões de disponibilidade (item 4.2) nem a limitação de responsabilidade (item 4.5) do Contrato Principal.</w:t>
      </w:r>
    </w:p>
    <w:p>
      <w:pPr>
        <w:keepNext/>
        <w:spacing w:after="110" w:before="240" w:line="276"/>
      </w:pPr>
      <w:r>
        <w:rPr>
          <w:rFonts w:ascii="Calibri" w:cs="Calibri" w:eastAsia="Calibri" w:hAnsi="Calibri"/>
          <w:b/>
          <w:bCs/>
          <w:color w:val="083F5E"/>
          <w:sz w:val="22"/>
          <w:szCs w:val="22"/>
        </w:rPr>
        <w:t xml:space="preserve">CLÁUSULA QUARTA — DO VALOR</w:t>
      </w:r>
    </w:p>
    <w:p>
      <w:pPr>
        <w:spacing w:after="100" w:line="276"/>
        <w:ind w:left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4.1. Pelo Suporte Estendido, a CONTRATANTE pagará o valor mensal adicional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R$ 100,00 (cem reais)</w:t>
      </w:r>
      <w:r>
        <w:rPr>
          <w:rFonts w:ascii="Calibri" w:cs="Calibri" w:eastAsia="Calibri" w:hAnsi="Calibri"/>
          <w:sz w:val="22"/>
          <w:szCs w:val="22"/>
        </w:rPr>
        <w:t xml:space="preserve">, somado à mensalidade do item 3.1 do Contrato Principal e cobrado no mesmo vencimento e no mesmo documento.</w:t>
      </w:r>
    </w:p>
    <w:p>
      <w:pPr>
        <w:spacing w:after="100" w:line="276"/>
        <w:ind w:left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4.2. O valor é reajustado na mesma data e pelo mesmo índice previstos no item 3.6 do Contrato Principal.</w:t>
      </w:r>
    </w:p>
    <w:p>
      <w:pPr>
        <w:keepNext/>
        <w:spacing w:after="110" w:before="240" w:line="276"/>
      </w:pPr>
      <w:r>
        <w:rPr>
          <w:rFonts w:ascii="Calibri" w:cs="Calibri" w:eastAsia="Calibri" w:hAnsi="Calibri"/>
          <w:b/>
          <w:bCs/>
          <w:color w:val="083F5E"/>
          <w:sz w:val="22"/>
          <w:szCs w:val="22"/>
        </w:rPr>
        <w:t xml:space="preserve">CLÁUSULA QUINTA — DA VIGÊNCIA E DO CANCELAMENTO</w:t>
      </w:r>
    </w:p>
    <w:p>
      <w:pPr>
        <w:spacing w:after="100" w:line="276"/>
        <w:ind w:left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5.1. Este Aditivo vigora a partir de ___/___/______ e acompanha a vigência do Contrato Principal.</w:t>
      </w:r>
    </w:p>
    <w:p>
      <w:pPr>
        <w:spacing w:after="100" w:line="276"/>
        <w:ind w:left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5.2. O Suporte Estendido pode ser cancelado isoladamente por qualquer das partes, mediante aviso escrito de 30 (trinta) dias,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sem incidência da multa do item 7.3 do Contrato Principal</w:t>
      </w:r>
      <w:r>
        <w:rPr>
          <w:rFonts w:ascii="Calibri" w:cs="Calibri" w:eastAsia="Calibri" w:hAnsi="Calibri"/>
          <w:sz w:val="22"/>
          <w:szCs w:val="22"/>
        </w:rPr>
        <w:t xml:space="preserve">, retornando o atendimento à janela padrão de segunda a sexta-feira, das 8h às 18h. O cancelamento deste Aditivo não afeta a vigência do Contrato Principal.</w:t>
      </w:r>
    </w:p>
    <w:p>
      <w:pPr>
        <w:keepNext/>
        <w:spacing w:after="110" w:before="240" w:line="276"/>
      </w:pPr>
      <w:r>
        <w:rPr>
          <w:rFonts w:ascii="Calibri" w:cs="Calibri" w:eastAsia="Calibri" w:hAnsi="Calibri"/>
          <w:b/>
          <w:bCs/>
          <w:color w:val="083F5E"/>
          <w:sz w:val="22"/>
          <w:szCs w:val="22"/>
        </w:rPr>
        <w:t xml:space="preserve">CLÁUSULA SEXTA — DAS DEMAIS DISPOSIÇÕES</w:t>
      </w:r>
    </w:p>
    <w:p>
      <w:pPr>
        <w:spacing w:after="100" w:line="276"/>
        <w:ind w:left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6.1. Permanecem inalteradas todas as demais cláusulas e condições do Contrato Principal, que este Aditivo integra para todos os fins.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E, por estarem assim justas e contratadas, as partes assinam o presente Aditivo em 02 (duas) vias de igual teor e forma, na presença das testemunhas abaixo assinadas.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Catanduva/SP, ___ de __________________ de ______.</w:t>
      </w:r>
    </w:p>
    <w:p>
      <w:pPr>
        <w:keepNext/>
        <w:spacing w:after="140" w:before="240"/>
        <w:jc w:val="center"/>
      </w:pPr>
      <w:r>
        <w:rPr>
          <w:rFonts w:ascii="Calibri" w:cs="Calibri" w:eastAsia="Calibri" w:hAnsi="Calibri"/>
          <w:b/>
          <w:bCs/>
          <w:color w:val="083F5E"/>
          <w:sz w:val="19"/>
          <w:szCs w:val="19"/>
        </w:rPr>
        <w:t xml:space="preserve">PRESTARE GESTÃO CONDOMINIAL INTELIGENTE LTDA-ME — CONTRATADA</w:t>
      </w:r>
    </w:p>
    <w:tbl>
      <w:tblPr>
        <w:tblW w:type="dxa" w:w="91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53"/>
        <w:gridCol w:w="4553"/>
      </w:tblGrid>
      <w:tr>
        <w:trPr>
          <w:cantSplit/>
        </w:trPr>
        <w:tc>
          <w:tcPr>
            <w:tcW w:type="dxa" w:w="4553"/>
            <w:tcBorders>
              <w:top w:val="none"/>
              <w:left w:val="none"/>
              <w:bottom w:val="none"/>
              <w:right w:val="none"/>
            </w:tcBorders>
            <w:tcMar>
              <w:right w:type="dxa" w:w="250"/>
            </w:tcMar>
          </w:tcPr>
          <w:p>
            <w:pPr>
              <w:pBdr>
                <w:top w:val="single" w:color="9AA9C4" w:sz="4" w:space="1"/>
              </w:pBdr>
              <w:spacing w:after="40"/>
            </w:pPr>
            <w:r>
              <w:rPr>
                <w:sz w:val="4"/>
                <w:szCs w:val="4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Erika Augusta Vilela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5C6E8C"/>
                <w:sz w:val="18"/>
                <w:szCs w:val="18"/>
              </w:rPr>
              <w:t xml:space="preserve">Sócia proprietária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5C6E8C"/>
                <w:sz w:val="18"/>
                <w:szCs w:val="18"/>
              </w:rPr>
              <w:t xml:space="preserve">CPF 247.847.728-98</w:t>
            </w:r>
          </w:p>
        </w:tc>
        <w:tc>
          <w:tcPr>
            <w:tcW w:type="dxa" w:w="4553"/>
            <w:tcBorders>
              <w:top w:val="none"/>
              <w:left w:val="none"/>
              <w:bottom w:val="none"/>
              <w:right w:val="none"/>
            </w:tcBorders>
            <w:tcMar>
              <w:left w:type="dxa" w:w="250"/>
            </w:tcMar>
          </w:tcPr>
          <w:p>
            <w:pPr>
              <w:pBdr>
                <w:top w:val="single" w:color="9AA9C4" w:sz="4" w:space="1"/>
              </w:pBdr>
              <w:spacing w:after="40"/>
            </w:pPr>
            <w:r>
              <w:rPr>
                <w:sz w:val="4"/>
                <w:szCs w:val="4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Ana Glaucia Damian Torrecilhas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5C6E8C"/>
                <w:sz w:val="18"/>
                <w:szCs w:val="18"/>
              </w:rPr>
              <w:t xml:space="preserve">Sócia proprietária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5C6E8C"/>
                <w:sz w:val="18"/>
                <w:szCs w:val="18"/>
              </w:rPr>
              <w:t xml:space="preserve">CPF 312.961.648-96</w:t>
            </w:r>
          </w:p>
        </w:tc>
      </w:tr>
    </w:tbl>
    <w:p>
      <w:pPr>
        <w:spacing w:before="200"/>
      </w:pPr>
    </w:p>
    <w:tbl>
      <w:tblPr>
        <w:tblW w:type="dxa" w:w="91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53"/>
        <w:gridCol w:w="4553"/>
      </w:tblGrid>
      <w:tr>
        <w:trPr>
          <w:cantSplit/>
        </w:trPr>
        <w:tc>
          <w:tcPr>
            <w:tcW w:type="dxa" w:w="4553"/>
            <w:tcBorders>
              <w:top w:val="none"/>
              <w:left w:val="none"/>
              <w:bottom w:val="none"/>
              <w:right w:val="none"/>
            </w:tcBorders>
            <w:tcMar>
              <w:right w:type="dxa" w:w="250"/>
            </w:tcMar>
          </w:tcPr>
          <w:p>
            <w:pPr>
              <w:pBdr>
                <w:top w:val="single" w:color="9AA9C4" w:sz="4" w:space="1"/>
              </w:pBdr>
              <w:spacing w:after="40"/>
            </w:pPr>
            <w:r>
              <w:rPr>
                <w:sz w:val="4"/>
                <w:szCs w:val="4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CONTRATANTE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5C6E8C"/>
                <w:sz w:val="18"/>
                <w:szCs w:val="18"/>
              </w:rPr>
              <w:t xml:space="preserve">Condomínio Edifício Veredas do Sol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5C6E8C"/>
                <w:sz w:val="18"/>
                <w:szCs w:val="18"/>
              </w:rPr>
              <w:t xml:space="preserve">Síndico(a)</w:t>
            </w:r>
          </w:p>
        </w:tc>
        <w:tc>
          <w:tcPr>
            <w:tcW w:type="dxa" w:w="4553"/>
            <w:tcBorders>
              <w:top w:val="none"/>
              <w:left w:val="none"/>
              <w:bottom w:val="none"/>
              <w:right w:val="none"/>
            </w:tcBorders>
            <w:tcMar>
              <w:left w:type="dxa" w:w="250"/>
            </w:tcMar>
          </w:tcPr>
          <w:p/>
        </w:tc>
      </w:tr>
    </w:tbl>
    <w:p>
      <w:pPr>
        <w:spacing w:before="160"/>
      </w:pPr>
    </w:p>
    <w:tbl>
      <w:tblPr>
        <w:tblW w:type="dxa" w:w="91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53"/>
        <w:gridCol w:w="4553"/>
      </w:tblGrid>
      <w:tr>
        <w:trPr>
          <w:cantSplit/>
        </w:trPr>
        <w:tc>
          <w:tcPr>
            <w:tcW w:type="dxa" w:w="4553"/>
            <w:tcBorders>
              <w:top w:val="none"/>
              <w:left w:val="none"/>
              <w:bottom w:val="none"/>
              <w:right w:val="none"/>
            </w:tcBorders>
            <w:tcMar>
              <w:right w:type="dxa" w:w="250"/>
            </w:tcMar>
          </w:tcPr>
          <w:p>
            <w:pPr>
              <w:pBdr>
                <w:top w:val="single" w:color="9AA9C4" w:sz="4" w:space="1"/>
              </w:pBdr>
              <w:spacing w:after="40"/>
            </w:pPr>
            <w:r>
              <w:rPr>
                <w:sz w:val="4"/>
                <w:szCs w:val="4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Testemunha 1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5C6E8C"/>
                <w:sz w:val="18"/>
                <w:szCs w:val="18"/>
              </w:rPr>
              <w:t xml:space="preserve">Nome: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5C6E8C"/>
                <w:sz w:val="18"/>
                <w:szCs w:val="18"/>
              </w:rPr>
              <w:t xml:space="preserve">CPF:</w:t>
            </w:r>
          </w:p>
        </w:tc>
        <w:tc>
          <w:tcPr>
            <w:tcW w:type="dxa" w:w="4553"/>
            <w:tcBorders>
              <w:top w:val="none"/>
              <w:left w:val="none"/>
              <w:bottom w:val="none"/>
              <w:right w:val="none"/>
            </w:tcBorders>
            <w:tcMar>
              <w:left w:type="dxa" w:w="250"/>
            </w:tcMar>
          </w:tcPr>
          <w:p>
            <w:pPr>
              <w:pBdr>
                <w:top w:val="single" w:color="9AA9C4" w:sz="4" w:space="1"/>
              </w:pBdr>
              <w:spacing w:after="40"/>
            </w:pPr>
            <w:r>
              <w:rPr>
                <w:sz w:val="4"/>
                <w:szCs w:val="4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Testemunha 2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5C6E8C"/>
                <w:sz w:val="18"/>
                <w:szCs w:val="18"/>
              </w:rPr>
              <w:t xml:space="preserve">Nome: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5C6E8C"/>
                <w:sz w:val="18"/>
                <w:szCs w:val="18"/>
              </w:rPr>
              <w:t xml:space="preserve">CPF: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600" w:right="1400" w:bottom="2400" w:left="1400" w:header="200" w:footer="1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60"/>
      <w:jc w:val="center"/>
    </w:pPr>
    <w:r>
      <w:rPr>
        <w:rFonts w:ascii="Calibri" w:cs="Calibri" w:eastAsia="Calibri" w:hAnsi="Calibri"/>
        <w:color w:val="5C6E8C"/>
        <w:sz w:val="15"/>
        <w:szCs w:val="15"/>
      </w:rPr>
      <w:t xml:space="preserve">Rubrica CONTRATANTE: __________     Rubrica CONTRATADA: __________     Página </w:t>
    </w:r>
    <w:r>
      <w:rPr>
        <w:rFonts w:ascii="Calibri" w:cs="Calibri" w:eastAsia="Calibri" w:hAnsi="Calibri"/>
        <w:color w:val="5C6E8C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C6E8C"/>
        <w:sz w:val="15"/>
        <w:szCs w:val="15"/>
      </w:rPr>
      <w:t xml:space="preserve"> de </w:t>
    </w:r>
    <w:r>
      <w:rPr>
        <w:rFonts w:ascii="Calibri" w:cs="Calibri" w:eastAsia="Calibri" w:hAnsi="Calibri"/>
        <w:color w:val="5C6E8C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  <w:p>
    <w:pPr>
      <w:spacing w:after="0"/>
      <w:ind w:left="-930" w:right="-930"/>
      <w:jc w:val="center"/>
    </w:pPr>
    <w:r>
      <w:drawing>
        <wp:inline distT="0" distB="0" distL="0" distR="0">
          <wp:extent cx="6953250" cy="11620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53250" cy="1162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ind w:left="-930" w:right="-930"/>
      <w:jc w:val="center"/>
    </w:pPr>
    <w:r>
      <w:drawing>
        <wp:inline distT="0" distB="0" distL="0" distR="0">
          <wp:extent cx="6953250" cy="3333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53250" cy="333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fa4dbe79697c112b34dd6542e3cb2f03aa3e9eb0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1d7e361e80e8b74655d15f43e76078fe359ed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2026-09-08T16:13:12.959Z</dcterms:created>
  <dcterms:modified xsi:type="dcterms:W3CDTF">2026-09-08T16:13:13.010Z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