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3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932692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fazer a gestão de atividades contínuas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8" name="Shape 8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um processo definido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 flipH="1" rot="3223144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Avaliações Continuadas não fazem parte da cultura acadêmica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oportunidade e momento propício para pensar e implantar um novo sistema de avaliação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3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