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Requisitos de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SSS-0001 - O sistema DEVE verificar se o cliente possui cadastro no sistema.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Comprar produtos inteiros)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(Acompanhamento)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SSS-0002 - O sistema DEVE cadastrar novos clientes.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SSS-0003 - O sistema DEVE verificar se o produto está disponível em estoque antes de gerar o pedido.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SSS-0004 - O sistema DEVE informar que um pedido não pode ser atendido por falta de produtos.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SSS-0005 - O sistema DEVE informar que o pedido foi registrado.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SSS-0006 - O sistema DEVE registrar o pagamento do pedido.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SSS-0007 - O sistema DEVE informar que o produto está pronto.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SSS-0008 - O sistema DEVE informar que o pedido foi cancelado.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SSS-0009 - O sistema DEVE informar que o produto está a caminho do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destinatário.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SSS-0010 - O sistema DEVE informar que o pedido não pode mais ser alterado.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SSS-0011 - O sistema DEVE informar que o pedido foi alterado.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SSS-0012 - O sistema DEVE informar que o pedido foi entregue.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  <w:t xml:space="preserve">SSS-0013 - O sistema DEVE Verificar se o serviço está disponível.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(Acompanhamento)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  <w:t xml:space="preserve">SSS-0014 - O sistema DEVE Informar que o serviço não está disponível.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SSS-0015 - O sistema DEVE Informar que acompanhamento foi cancelado com sucesso.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