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8"/>
          <w:szCs w:val="28"/>
        </w:rPr>
        <w:t xml:space="preserve">UNIVERSIDADE PAULISTA – UNIP</w:t>
      </w:r>
    </w:p>
    <w:p>
      <w:pPr>
        <w:spacing w:after="720" w:before="0" w:line="360"/>
        <w:jc w:val="center"/>
      </w:pPr>
      <w:r>
        <w:rPr>
          <w:rFonts w:ascii="Times New Roman" w:cs="Times New Roman" w:eastAsia="Times New Roman" w:hAnsi="Times New Roman"/>
          <w:b/>
          <w:bCs/>
          <w:i w:val="false"/>
          <w:iCs w:val="false"/>
          <w:sz w:val="26"/>
          <w:szCs w:val="26"/>
        </w:rPr>
        <w:t xml:space="preserve">CURSO DE CIÊNCIA DA COMPUTAÇÃO</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48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480" w:before="0" w:line="360"/>
        <w:jc w:val="center"/>
      </w:pPr>
      <w:r>
        <w:rPr>
          <w:rFonts w:ascii="Times New Roman" w:cs="Times New Roman" w:eastAsia="Times New Roman" w:hAnsi="Times New Roman"/>
          <w:b/>
          <w:bCs/>
          <w:i/>
          <w:iCs/>
          <w:sz w:val="24"/>
          <w:szCs w:val="24"/>
        </w:rPr>
        <w:t xml:space="preserve">ETAPA 4 – INTRODUÇÃO E RESULTADOS ESPERADOS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720" w:before="0" w:line="360"/>
        <w:jc w:val="center"/>
      </w:pPr>
      <w:r>
        <w:rPr>
          <w:rFonts w:ascii="Times New Roman" w:cs="Times New Roman" w:eastAsia="Times New Roman" w:hAnsi="Times New Roman"/>
          <w:b/>
          <w:bCs/>
          <w:i w:val="false"/>
          <w:iCs w:val="false"/>
          <w:sz w:val="26"/>
          <w:szCs w:val="26"/>
        </w:rPr>
        <w:t xml:space="preserve">VINICIUS VILELA RUFINI</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8"/>
          <w:szCs w:val="28"/>
        </w:rPr>
        <w:t xml:space="preserve">O PARADIGMA DO KANBAN SEMÂNTICO:</w:t>
      </w:r>
    </w:p>
    <w:p>
      <w:pPr>
        <w:spacing w:after="720" w:before="0" w:line="360"/>
        <w:jc w:val="center"/>
      </w:pPr>
      <w:r>
        <w:rPr>
          <w:rFonts w:ascii="Times New Roman" w:cs="Times New Roman" w:eastAsia="Times New Roman" w:hAnsi="Times New Roman"/>
          <w:b/>
          <w:bCs/>
          <w:i w:val="false"/>
          <w:iCs w:val="false"/>
          <w:sz w:val="26"/>
          <w:szCs w:val="26"/>
        </w:rPr>
        <w:t xml:space="preserve">OTIMIZAÇÃO DE PERFORMANCE OPERACIONAL ATRAVÉS DO MECANISMO KANBAN IA COM CONTEXTUALIZAÇÃO AUTÔNOMA VIA LLMs E CONTROLE DE ACESSO POR TAGS (RLS)</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Etapa 4 – Introdução e Resultados Esperados do Trabalho de Conclusão de Curso, apresentada à Universidade Paulista – UNIP como requisito parcial para obtenção do título de Bacharel em Ciência da Computação. Documento submetido à apreciação do(a) orientador(a).</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line="280"/>
        <w:ind w:left="4500"/>
        <w:jc w:val="right"/>
      </w:pPr>
      <w:r>
        <w:rPr>
          <w:rFonts w:ascii="Times New Roman" w:cs="Times New Roman" w:eastAsia="Times New Roman" w:hAnsi="Times New Roman"/>
          <w:sz w:val="22"/>
          <w:szCs w:val="22"/>
        </w:rPr>
        <w:t xml:space="preserve">Orientador(a): Prof(a). [Nome do Orientador]</w:t>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0" w:before="0" w:line="360"/>
        <w:jc w:val="both"/>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bCs/>
          <w:i w:val="false"/>
          <w:iCs w:val="false"/>
          <w:sz w:val="24"/>
          <w:szCs w:val="24"/>
        </w:rPr>
        <w:t xml:space="preserve">SÃO PAULO</w:t>
      </w:r>
    </w:p>
    <w:p>
      <w:pPr>
        <w:spacing w:after="0" w:before="0" w:line="360"/>
        <w:jc w:val="center"/>
      </w:pPr>
      <w:r>
        <w:rPr>
          <w:rFonts w:ascii="Times New Roman" w:cs="Times New Roman" w:eastAsia="Times New Roman" w:hAnsi="Times New Roman"/>
          <w:b/>
          <w:bCs/>
          <w:i w:val="false"/>
          <w:iCs w:val="false"/>
          <w:sz w:val="24"/>
          <w:szCs w:val="24"/>
        </w:rPr>
        <w:t xml:space="preserve">2026</w:t>
      </w:r>
    </w:p>
    <w:p>
      <w:r>
        <w:br w:type="page"/>
      </w:r>
    </w:p>
    <w:p>
      <w:pPr>
        <w:spacing w:after="360" w:before="0" w:line="360"/>
        <w:jc w:val="center"/>
      </w:pPr>
      <w:r>
        <w:rPr>
          <w:rFonts w:ascii="Times New Roman" w:cs="Times New Roman" w:eastAsia="Times New Roman" w:hAnsi="Times New Roman"/>
          <w:b/>
          <w:bCs/>
          <w:i w:val="false"/>
          <w:iCs w:val="false"/>
          <w:sz w:val="28"/>
          <w:szCs w:val="28"/>
        </w:rPr>
        <w:t xml:space="preserve">SUMÁRIO</w:t>
      </w:r>
    </w:p>
    <w:p>
      <w:pPr>
        <w:spacing w:after="0" w:before="0" w:line="360"/>
        <w:jc w:val="both"/>
      </w:pPr>
      <w:r>
        <w:rPr>
          <w:rFonts w:ascii="Times New Roman" w:cs="Times New Roman" w:eastAsia="Times New Roman" w:hAnsi="Times New Roman"/>
          <w:b w:val="false"/>
          <w:bCs w:val="false"/>
          <w:i w:val="false"/>
          <w:iCs w:val="false"/>
          <w:sz w:val="24"/>
          <w:szCs w:val="24"/>
        </w:rPr>
        <w:t xml:space="preserve">1 INTRODUÇÃO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1.1 Contextualização do Problema ........................................................................... 4</w:t>
      </w:r>
    </w:p>
    <w:p>
      <w:pPr>
        <w:spacing w:after="0" w:before="0" w:line="360"/>
        <w:jc w:val="both"/>
      </w:pPr>
      <w:r>
        <w:rPr>
          <w:rFonts w:ascii="Times New Roman" w:cs="Times New Roman" w:eastAsia="Times New Roman" w:hAnsi="Times New Roman"/>
          <w:b w:val="false"/>
          <w:bCs w:val="false"/>
          <w:i w:val="false"/>
          <w:iCs w:val="false"/>
          <w:sz w:val="24"/>
          <w:szCs w:val="24"/>
        </w:rPr>
        <w:t xml:space="preserve">1.2 Justificativa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1.3 Objetivos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1.3.1 Objetivo Geral ................................................................................................... 5</w:t>
      </w:r>
    </w:p>
    <w:p>
      <w:pPr>
        <w:spacing w:after="0" w:before="0" w:line="360"/>
        <w:jc w:val="both"/>
      </w:pPr>
      <w:r>
        <w:rPr>
          <w:rFonts w:ascii="Times New Roman" w:cs="Times New Roman" w:eastAsia="Times New Roman" w:hAnsi="Times New Roman"/>
          <w:b w:val="false"/>
          <w:bCs w:val="false"/>
          <w:i w:val="false"/>
          <w:iCs w:val="false"/>
          <w:sz w:val="24"/>
          <w:szCs w:val="24"/>
        </w:rPr>
        <w:t xml:space="preserve">1.3.2 Objetivos Específicos ........................................................................................ 6</w:t>
      </w:r>
    </w:p>
    <w:p>
      <w:pPr>
        <w:spacing w:after="0" w:before="0" w:line="360"/>
        <w:jc w:val="both"/>
      </w:pPr>
      <w:r>
        <w:rPr>
          <w:rFonts w:ascii="Times New Roman" w:cs="Times New Roman" w:eastAsia="Times New Roman" w:hAnsi="Times New Roman"/>
          <w:b w:val="false"/>
          <w:bCs w:val="false"/>
          <w:i w:val="false"/>
          <w:iCs w:val="false"/>
          <w:sz w:val="24"/>
          <w:szCs w:val="24"/>
        </w:rPr>
        <w:t xml:space="preserve">1.4 Estrutura do Trabalho .......................................................................................... 6</w:t>
      </w:r>
    </w:p>
    <w:p>
      <w:pPr>
        <w:spacing w:after="0" w:before="0" w:line="360"/>
        <w:jc w:val="both"/>
      </w:pPr>
      <w:r>
        <w:rPr>
          <w:rFonts w:ascii="Times New Roman" w:cs="Times New Roman" w:eastAsia="Times New Roman" w:hAnsi="Times New Roman"/>
          <w:b w:val="false"/>
          <w:bCs w:val="false"/>
          <w:i w:val="false"/>
          <w:iCs w:val="false"/>
          <w:sz w:val="24"/>
          <w:szCs w:val="24"/>
        </w:rPr>
        <w:t xml:space="preserve">2 RESULTADOS ESPERADOS .............................................................................. 7</w:t>
      </w:r>
    </w:p>
    <w:p>
      <w:pPr>
        <w:spacing w:after="0" w:before="0" w:line="360"/>
        <w:jc w:val="both"/>
      </w:pPr>
      <w:r>
        <w:rPr>
          <w:rFonts w:ascii="Times New Roman" w:cs="Times New Roman" w:eastAsia="Times New Roman" w:hAnsi="Times New Roman"/>
          <w:b w:val="false"/>
          <w:bCs w:val="false"/>
          <w:i w:val="false"/>
          <w:iCs w:val="false"/>
          <w:sz w:val="24"/>
          <w:szCs w:val="24"/>
        </w:rPr>
        <w:t xml:space="preserve">2.1 Hipóteses de Pesquisa ......................................................................................... 7</w:t>
      </w:r>
    </w:p>
    <w:p>
      <w:pPr>
        <w:spacing w:after="0" w:before="0" w:line="360"/>
        <w:jc w:val="both"/>
      </w:pPr>
      <w:r>
        <w:rPr>
          <w:rFonts w:ascii="Times New Roman" w:cs="Times New Roman" w:eastAsia="Times New Roman" w:hAnsi="Times New Roman"/>
          <w:b w:val="false"/>
          <w:bCs w:val="false"/>
          <w:i w:val="false"/>
          <w:iCs w:val="false"/>
          <w:sz w:val="24"/>
          <w:szCs w:val="24"/>
        </w:rPr>
        <w:t xml:space="preserve">2.2 Resultados Esperados quanto aos Tempos Operacionais ................................. 7</w:t>
      </w:r>
    </w:p>
    <w:p>
      <w:pPr>
        <w:spacing w:after="0" w:before="0" w:line="360"/>
        <w:jc w:val="both"/>
      </w:pPr>
      <w:r>
        <w:rPr>
          <w:rFonts w:ascii="Times New Roman" w:cs="Times New Roman" w:eastAsia="Times New Roman" w:hAnsi="Times New Roman"/>
          <w:b w:val="false"/>
          <w:bCs w:val="false"/>
          <w:i w:val="false"/>
          <w:iCs w:val="false"/>
          <w:sz w:val="24"/>
          <w:szCs w:val="24"/>
        </w:rPr>
        <w:t xml:space="preserve">2.3 Resultados Esperados quanto a SLA e First Contact Resolution ..................... 8</w:t>
      </w:r>
    </w:p>
    <w:p>
      <w:pPr>
        <w:spacing w:after="0" w:before="0" w:line="360"/>
        <w:jc w:val="both"/>
      </w:pPr>
      <w:r>
        <w:rPr>
          <w:rFonts w:ascii="Times New Roman" w:cs="Times New Roman" w:eastAsia="Times New Roman" w:hAnsi="Times New Roman"/>
          <w:b w:val="false"/>
          <w:bCs w:val="false"/>
          <w:i w:val="false"/>
          <w:iCs w:val="false"/>
          <w:sz w:val="24"/>
          <w:szCs w:val="24"/>
        </w:rPr>
        <w:t xml:space="preserve">2.4 Resultados Esperados quanto à Eficiência Computacional ............................. 9</w:t>
      </w:r>
    </w:p>
    <w:p>
      <w:pPr>
        <w:spacing w:after="0" w:before="0" w:line="360"/>
        <w:jc w:val="both"/>
      </w:pPr>
      <w:r>
        <w:rPr>
          <w:rFonts w:ascii="Times New Roman" w:cs="Times New Roman" w:eastAsia="Times New Roman" w:hAnsi="Times New Roman"/>
          <w:b w:val="false"/>
          <w:bCs w:val="false"/>
          <w:i w:val="false"/>
          <w:iCs w:val="false"/>
          <w:sz w:val="24"/>
          <w:szCs w:val="24"/>
        </w:rPr>
        <w:t xml:space="preserve">2.5 Resultados Esperados quanto ao Retorno Financeiro ....................................... 9</w:t>
      </w:r>
    </w:p>
    <w:p>
      <w:pPr>
        <w:spacing w:after="0" w:before="0" w:line="360"/>
        <w:jc w:val="both"/>
      </w:pPr>
      <w:r>
        <w:rPr>
          <w:rFonts w:ascii="Times New Roman" w:cs="Times New Roman" w:eastAsia="Times New Roman" w:hAnsi="Times New Roman"/>
          <w:b w:val="false"/>
          <w:bCs w:val="false"/>
          <w:i w:val="false"/>
          <w:iCs w:val="false"/>
          <w:sz w:val="24"/>
          <w:szCs w:val="24"/>
        </w:rPr>
        <w:t xml:space="preserve">2.6 Validação Preliminar e Síntese das Expectativas .......................................... 10</w:t>
      </w:r>
    </w:p>
    <w:p>
      <w:pPr>
        <w:spacing w:after="0" w:before="0" w:line="360"/>
        <w:jc w:val="both"/>
      </w:pPr>
      <w:r>
        <w:rPr>
          <w:rFonts w:ascii="Times New Roman" w:cs="Times New Roman" w:eastAsia="Times New Roman" w:hAnsi="Times New Roman"/>
          <w:b w:val="false"/>
          <w:bCs w:val="false"/>
          <w:i w:val="false"/>
          <w:iCs w:val="false"/>
          <w:sz w:val="24"/>
          <w:szCs w:val="24"/>
        </w:rPr>
        <w:t xml:space="preserve">REFERÊNCIAS .................................................................................................... 11</w:t>
      </w:r>
    </w:p>
    <w:p>
      <w:r>
        <w:br w:type="page"/>
      </w:r>
    </w:p>
    <w:p>
      <w:pPr>
        <w:pStyle w:val="Heading1"/>
        <w:pageBreakBefore/>
        <w:spacing w:after="360" w:before="480" w:line="360"/>
        <w:jc w:val="left"/>
      </w:pPr>
      <w:r>
        <w:rPr>
          <w:rFonts w:ascii="Times New Roman" w:cs="Times New Roman" w:eastAsia="Times New Roman" w:hAnsi="Times New Roman"/>
          <w:b/>
          <w:bCs/>
          <w:sz w:val="28"/>
          <w:szCs w:val="28"/>
        </w:rPr>
        <w:t xml:space="preserve">1 INTRODUÇÃO</w:t>
      </w:r>
    </w:p>
    <w:p>
      <w:pPr>
        <w:pStyle w:val="Heading2"/>
        <w:spacing w:after="240" w:before="360" w:line="360"/>
        <w:jc w:val="left"/>
      </w:pPr>
      <w:r>
        <w:rPr>
          <w:rFonts w:ascii="Times New Roman" w:cs="Times New Roman" w:eastAsia="Times New Roman" w:hAnsi="Times New Roman"/>
          <w:b/>
          <w:bCs/>
          <w:sz w:val="26"/>
          <w:szCs w:val="26"/>
        </w:rPr>
        <w:t xml:space="preserve">1.1 Contextualização do Problema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As empresas prestadoras de serviços que operam em múltiplos turnos — tais como Centrais de Serviços Compartilhados (CSC), operações logísticas e suporte técnico — convivem com um paradoxo silencioso: ainda que adotem metodologias ágeis visuais, como o Kanban, continuam expostas a perdas significativas de produtividade decorrentes do tempo gasto pelos operadores na busca por informação. Manuais corporativos, procedimentos operacionais padrão e regras de negócio frequentemente residem em repositórios desconexos, planilhas avulsas ou exigem o acionamento de supervisores e áreas adjacentes, gerando interrupções que rompem o fluxo de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Esse fenômeno, designado nesta pesquisa como Gargalo Cognitivo, traduz-se em tempo de espera oculta (Wait Time), em desvios de qualidade na execução das tarefas e, sobretudo, em quebras recorrentes de Service Level Agreements (SLAs), com consequente exposição a multas contratuais e à corrosão da confiança dos clientes corporativos.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Kanban tradicional, embora eficaz para dar visibilidade ao fluxo e limitar o trabalho em progresso (WIP), opera de forma passiva: o cartão informa o estado da tarefa, mas não injeta conhecimento operacional no momento da execução. A presente pesquisa parte da premissa de que essa passividade pode — e deve — ser superada pela integração nativa de Inteligência Artificial Generativa ao ciclo de vida do cartão, desde que respaldada por mecanismos sólidos de segurança multilocatário.</w:t>
      </w:r>
    </w:p>
    <w:p>
      <w:pPr>
        <w:pStyle w:val="Heading2"/>
        <w:spacing w:after="240" w:before="360" w:line="360"/>
        <w:jc w:val="left"/>
      </w:pPr>
      <w:r>
        <w:rPr>
          <w:rFonts w:ascii="Times New Roman" w:cs="Times New Roman" w:eastAsia="Times New Roman" w:hAnsi="Times New Roman"/>
          <w:b/>
          <w:bCs/>
          <w:sz w:val="26"/>
          <w:szCs w:val="26"/>
        </w:rPr>
        <w:t xml:space="preserve">1.2 Justificativa</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Estudos consolidados na literatura de gestão do conhecimento, como o relatório clássico da IDC conduzido por Feldman e Sherman (2004), apontam que trabalhadores do conhecimento e profissionais de suporte gastam entre 15% e 30% do seu tempo de trabalho apenas localizando informações descentralizadas. Quando esse percentual é projetado sobre operações corporativas com centenas de cartões diários, a perda agregada de horas-homem revela um impacto financeiro de grande magnitude. Este intervalo serviu de âncora metodológica para a calibração estocástica do modelo de simulação adotado neste trabalho.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Por outro lado, a popularização dos Large Language Models (LLMs) e das arquiteturas de Retrieval-Augmented Generation (RAG), conforme descrito por Lewis et al. (2020), inaugurou uma nova geração de assistentes capazes de transformar texto bruto em prescrições acionáveis. Contudo, sua adoção em ambientes corporativos esbarra em dois desafios críticos: (i) o custo computacional por tokens consumidos a cada requisição e (ii) o risco de exposição indevida de dados sensíveis entre clientes em arquiteturas multilocatário.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O Mecanismo Kanban IA foi concebido para endereçar simultaneamente essas duas frentes, combinando a indexação semântica do conhecimento corporativo por meio de Tags de Autorização Temática com as políticas nativas de Row Level Security (RLS) do PostgreSQL, garantindo que o LLM receba apenas o fragmento de conhecimento estritamente autorizado para a empresa do usuário solicitante.</w:t>
      </w:r>
    </w:p>
    <w:p>
      <w:pPr>
        <w:pStyle w:val="Heading2"/>
        <w:spacing w:after="240" w:before="360" w:line="360"/>
        <w:jc w:val="left"/>
      </w:pPr>
      <w:r>
        <w:rPr>
          <w:rFonts w:ascii="Times New Roman" w:cs="Times New Roman" w:eastAsia="Times New Roman" w:hAnsi="Times New Roman"/>
          <w:b/>
          <w:bCs/>
          <w:sz w:val="26"/>
          <w:szCs w:val="26"/>
        </w:rPr>
        <w:t xml:space="preserve">1.3 Objetivos</w:t>
      </w:r>
    </w:p>
    <w:p>
      <w:pPr>
        <w:pStyle w:val="Heading3"/>
        <w:spacing w:after="180" w:before="280" w:line="360"/>
        <w:jc w:val="left"/>
      </w:pPr>
      <w:r>
        <w:rPr>
          <w:rFonts w:ascii="Times New Roman" w:cs="Times New Roman" w:eastAsia="Times New Roman" w:hAnsi="Times New Roman"/>
          <w:b/>
          <w:bCs/>
          <w:i/>
          <w:iCs/>
          <w:sz w:val="24"/>
          <w:szCs w:val="24"/>
        </w:rPr>
        <w:t xml:space="preserve">1.3.1 Objetivo Geral</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Conceber, implementar e validar o Mecanismo Kanban IA como evolução arquitetural do Kanban Tradicional, demonstrando, por meio de simulação computacional de eventos discretos com replicação Monte Carlo, sua superioridade na redução do Cycle Time e na elevação das taxas de cumprimento de SLAs e de First Contact Resolution em operações corporativas multiturno.</w:t>
      </w:r>
    </w:p>
    <w:p>
      <w:pPr>
        <w:pStyle w:val="Heading3"/>
        <w:spacing w:after="180" w:before="280" w:line="360"/>
        <w:jc w:val="left"/>
      </w:pPr>
      <w:r>
        <w:rPr>
          <w:rFonts w:ascii="Times New Roman" w:cs="Times New Roman" w:eastAsia="Times New Roman" w:hAnsi="Times New Roman"/>
          <w:b/>
          <w:bCs/>
          <w:i/>
          <w:iCs/>
          <w:sz w:val="24"/>
          <w:szCs w:val="24"/>
        </w:rPr>
        <w:t xml:space="preserve">1.3.2 Objetivos Específicos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Caracterizar, com base na literatura especializada, os componentes de tempo (Wait Time, Touch Time, Cycle Time e Lead Time) que compõem o ciclo de execução de uma tarefa em um sistema Kanban Tradicional.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Projetar a arquitetura lógica do Mecanismo Kanban IA, descrevendo a sinergia entre o backend Supabase/PostgreSQL, o frontend React/Vite, a camada de RLS e a integração com a API do Google Gemini, formalizada por meio de diagramas UML (Casos de Uso, Sequência e DER).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Implementar um simulador de eventos discretos em Node.js capaz de gerar amostras estatísticas comparáveis entre o Kanban Tradicional e o Mecanismo Kanban IA, executando ao menos 30 réplicas independentes para fins de inferência estatística.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Mensurar, sobre amostras de 100 cartões operacionais por réplica, os ganhos relativos nas dimensões de tempo, conformidade de SLA, FCR e consumo de tokens, submetendo as diferenças a teste t pareado bilateral.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Traduzir os ganhos técnicos em projeções financeiras (ROI), fornecendo argumentos quantitativos para a defesa acadêmica e para a adoção corporativa.</w:t>
      </w:r>
    </w:p>
    <w:p>
      <w:pPr>
        <w:pStyle w:val="Heading2"/>
        <w:spacing w:after="240" w:before="360" w:line="360"/>
        <w:jc w:val="left"/>
      </w:pPr>
      <w:r>
        <w:rPr>
          <w:rFonts w:ascii="Times New Roman" w:cs="Times New Roman" w:eastAsia="Times New Roman" w:hAnsi="Times New Roman"/>
          <w:b/>
          <w:bCs/>
          <w:sz w:val="26"/>
          <w:szCs w:val="26"/>
        </w:rPr>
        <w:t xml:space="preserve">1.4 Estrutura do Trabalho</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Após esta introdução, o Capítulo 2 apresenta a fundamentação teórica que sustenta a pesquisa. O Capítulo 3 descreve a arquitetura e a modelagem do sistema Kanban IA, incluindo os diagramas UML formais. O Capítulo 4 detalha a implementação prática e os artefatos reais do projeto, com destaque para as políticas RLS em produção. O Capítulo 5 expõe a metodologia de simulação adotada para a validação empírica, incluindo a replicação Monte Carlo. O Capítulo 6 expõe e discute os resultados obtidos, com suporte de tabelas e gráficos. O Capítulo 7 traz as considerações finais e os encaminhamentos para trabalhos futuros. Por fim, são apresentadas as Referências e os Apêndices A e B, contendo os códigos-fonte autorais utilizados na validação.</w:t>
      </w:r>
    </w:p>
    <w:p>
      <w:pPr>
        <w:pStyle w:val="Heading1"/>
        <w:pageBreakBefore/>
        <w:spacing w:after="360" w:before="480" w:line="360"/>
        <w:jc w:val="left"/>
      </w:pPr>
      <w:r>
        <w:rPr>
          <w:rFonts w:ascii="Times New Roman" w:cs="Times New Roman" w:eastAsia="Times New Roman" w:hAnsi="Times New Roman"/>
          <w:b/>
          <w:bCs/>
          <w:sz w:val="28"/>
          <w:szCs w:val="28"/>
        </w:rPr>
        <w:t xml:space="preserve">2 RESULTADOS ESPERADOS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Este capítulo formaliza as hipóteses de pesquisa e os resultados esperados do experimento de validação, articulando-os com as projeções preliminares já obtidas a partir das primeiras execuções do modelo de simulação descrito na metodologia. Os valores numéricos aqui apresentados constituem expectativas fundamentadas — derivadas tanto da literatura quanto de execuções preliminares do simulador —, cuja consolidação definitiva será apresentada no capítulo de resultados da versão final do trabalho.</w:t>
      </w:r>
    </w:p>
    <w:p>
      <w:pPr>
        <w:pStyle w:val="Heading2"/>
        <w:spacing w:after="240" w:before="360" w:line="360"/>
        <w:jc w:val="left"/>
      </w:pPr>
      <w:r>
        <w:rPr>
          <w:rFonts w:ascii="Times New Roman" w:cs="Times New Roman" w:eastAsia="Times New Roman" w:hAnsi="Times New Roman"/>
          <w:b/>
          <w:bCs/>
          <w:sz w:val="26"/>
          <w:szCs w:val="26"/>
        </w:rPr>
        <w:t xml:space="preserve">2.1 Hipóteses de Pesquisa</w:t>
      </w:r>
    </w:p>
    <w:p>
      <w:pPr>
        <w:spacing w:after="120" w:before="0" w:line="360"/>
        <w:ind w:firstLine="720"/>
        <w:jc w:val="both"/>
      </w:pPr>
      <w:r>
        <w:rPr>
          <w:rFonts w:ascii="Times New Roman" w:cs="Times New Roman" w:eastAsia="Times New Roman" w:hAnsi="Times New Roman"/>
          <w:b w:val="false"/>
          <w:bCs w:val="false"/>
          <w:i w:val="false"/>
          <w:iCs w:val="false"/>
          <w:sz w:val="24"/>
          <w:szCs w:val="24"/>
        </w:rPr>
        <w:t xml:space="preserve">A pesquisa estrutura-se em torno de uma hipótese central e quatro hipóteses derivadas, todas passíveis de verificação por meio do experimento de simulação:</w:t>
      </w:r>
    </w:p>
    <w:p>
      <w:pPr>
        <w:pStyle w:val="ListParagraph"/>
        <w:numPr>
          <w:ilvl w:val="0"/>
          <w:numId w:val="3"/>
        </w:numPr>
        <w:spacing w:after="60" w:line="360"/>
        <w:jc w:val="both"/>
      </w:pPr>
      <w:r>
        <w:rPr>
          <w:rFonts w:ascii="Times New Roman" w:cs="Times New Roman" w:eastAsia="Times New Roman" w:hAnsi="Times New Roman"/>
          <w:sz w:val="24"/>
          <w:szCs w:val="24"/>
        </w:rPr>
        <w:t xml:space="preserve">Hipótese central (H1): a injeção semântica de conhecimento autorizado no cartão Kanban reduz significativamente o Cycle Time em relação ao Kanban tradicional.</w:t>
      </w:r>
    </w:p>
    <w:p>
      <w:pPr>
        <w:pStyle w:val="ListParagraph"/>
        <w:numPr>
          <w:ilvl w:val="0"/>
          <w:numId w:val="3"/>
        </w:numPr>
        <w:spacing w:after="60" w:line="360"/>
        <w:jc w:val="both"/>
      </w:pPr>
      <w:r>
        <w:rPr>
          <w:rFonts w:ascii="Times New Roman" w:cs="Times New Roman" w:eastAsia="Times New Roman" w:hAnsi="Times New Roman"/>
          <w:sz w:val="24"/>
          <w:szCs w:val="24"/>
        </w:rPr>
        <w:t xml:space="preserve">Hipótese derivada (H1a): o ganho concentra-se majoritariamente na redução do Wait Time, e não na aceleração do Touch Time.</w:t>
      </w:r>
    </w:p>
    <w:p>
      <w:pPr>
        <w:pStyle w:val="ListParagraph"/>
        <w:numPr>
          <w:ilvl w:val="0"/>
          <w:numId w:val="3"/>
        </w:numPr>
        <w:spacing w:after="60" w:line="360"/>
        <w:jc w:val="both"/>
      </w:pPr>
      <w:r>
        <w:rPr>
          <w:rFonts w:ascii="Times New Roman" w:cs="Times New Roman" w:eastAsia="Times New Roman" w:hAnsi="Times New Roman"/>
          <w:sz w:val="24"/>
          <w:szCs w:val="24"/>
        </w:rPr>
        <w:t xml:space="preserve">Hipótese derivada (H1b): a redução do Cycle Time reduz, por consequência, a taxa de quebra de SLA.</w:t>
      </w:r>
    </w:p>
    <w:p>
      <w:pPr>
        <w:pStyle w:val="ListParagraph"/>
        <w:numPr>
          <w:ilvl w:val="0"/>
          <w:numId w:val="3"/>
        </w:numPr>
        <w:spacing w:after="60" w:line="360"/>
        <w:jc w:val="both"/>
      </w:pPr>
      <w:r>
        <w:rPr>
          <w:rFonts w:ascii="Times New Roman" w:cs="Times New Roman" w:eastAsia="Times New Roman" w:hAnsi="Times New Roman"/>
          <w:sz w:val="24"/>
          <w:szCs w:val="24"/>
        </w:rPr>
        <w:t xml:space="preserve">Hipótese derivada (H1c): a disponibilidade do conhecimento contextualizado eleva a taxa de First Contact Resolution (FCR).</w:t>
      </w:r>
    </w:p>
    <w:p>
      <w:pPr>
        <w:pStyle w:val="ListParagraph"/>
        <w:numPr>
          <w:ilvl w:val="0"/>
          <w:numId w:val="3"/>
        </w:numPr>
        <w:spacing w:after="60" w:line="360"/>
        <w:jc w:val="both"/>
      </w:pPr>
      <w:r>
        <w:rPr>
          <w:rFonts w:ascii="Times New Roman" w:cs="Times New Roman" w:eastAsia="Times New Roman" w:hAnsi="Times New Roman"/>
          <w:sz w:val="24"/>
          <w:szCs w:val="24"/>
        </w:rPr>
        <w:t xml:space="preserve">Hipótese derivada (H1d): a filtragem por Tags de Autorização Temática reduz o consumo de tokens do modelo de linguagem em relação a uma abordagem RAG genérica.</w:t>
      </w:r>
    </w:p>
    <w:p>
      <w:pPr>
        <w:spacing w:after="0" w:before="120" w:line="360"/>
        <w:ind w:firstLine="720"/>
        <w:jc w:val="both"/>
      </w:pPr>
      <w:r>
        <w:rPr>
          <w:rFonts w:ascii="Times New Roman" w:cs="Times New Roman" w:eastAsia="Times New Roman" w:hAnsi="Times New Roman"/>
          <w:b w:val="false"/>
          <w:bCs w:val="false"/>
          <w:i w:val="false"/>
          <w:iCs w:val="false"/>
          <w:sz w:val="24"/>
          <w:szCs w:val="24"/>
        </w:rPr>
        <w:t xml:space="preserve">A hipótese nula (H0) correspondente sustenta que não há diferença estatisticamente significativa entre os dois sistemas. O experimento visa, portanto, rejeitar H0 ao nível de significância α = 0,001.</w:t>
      </w:r>
    </w:p>
    <w:p>
      <w:pPr>
        <w:pStyle w:val="Heading2"/>
        <w:spacing w:after="240" w:before="360" w:line="360"/>
        <w:jc w:val="left"/>
      </w:pPr>
      <w:r>
        <w:rPr>
          <w:rFonts w:ascii="Times New Roman" w:cs="Times New Roman" w:eastAsia="Times New Roman" w:hAnsi="Times New Roman"/>
          <w:b/>
          <w:bCs/>
          <w:sz w:val="26"/>
          <w:szCs w:val="26"/>
        </w:rPr>
        <w:t xml:space="preserve">2.2 Resultados Esperados quanto aos Tempos Operacionais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Espera-se que o Mecanismo Kanban IA promova reduções expressivas nas três métricas temporais analisadas, com destaque para o Wait Time, em conformidade com a hipótese H1a. A Tabela 1 sintetiza os resultados esperados, já corroborados pelas projeções preliminares da simulação.</w:t>
      </w:r>
    </w:p>
    <w:p>
      <w:pPr>
        <w:spacing w:after="120" w:before="200"/>
        <w:jc w:val="center"/>
      </w:pPr>
      <w:r>
        <w:rPr>
          <w:rFonts w:ascii="Times New Roman" w:cs="Times New Roman" w:eastAsia="Times New Roman" w:hAnsi="Times New Roman"/>
          <w:b/>
          <w:bCs/>
          <w:sz w:val="22"/>
          <w:szCs w:val="22"/>
        </w:rPr>
        <w:t xml:space="preserve">Tabela 1 – Resultados esperados quanto aos tempos operacionais médios (em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tcBorders>
              <w:top w:val="single" w:color="333333" w:sz="4"/>
              <w:left w:val="single" w:color="333333" w:sz="4"/>
              <w:bottom w:val="single" w:color="333333" w:sz="4"/>
              <w:right w:val="single" w:color="333333" w:sz="4"/>
            </w:tcBorders>
            <w:shd w:fill="1E2761" w:color="auto" w:val="clear"/>
            <w:tcMar>
              <w:top w:type="dxa" w:w="90"/>
              <w:left w:type="dxa" w:w="110"/>
              <w:bottom w:type="dxa" w:w="90"/>
              <w:right w:type="dxa" w:w="110"/>
            </w:tcMar>
          </w:tcPr>
          <w:p>
            <w:pPr>
              <w:spacing w:line="280"/>
              <w:jc w:val="center"/>
            </w:pPr>
            <w:r>
              <w:rPr>
                <w:rFonts w:ascii="Times New Roman" w:cs="Times New Roman" w:eastAsia="Times New Roman" w:hAnsi="Times New Roman"/>
                <w:b/>
                <w:bCs/>
                <w:color w:val="FFFFFF"/>
                <w:sz w:val="22"/>
                <w:szCs w:val="22"/>
              </w:rPr>
              <w:t xml:space="preserve">Métrica</w:t>
            </w:r>
          </w:p>
        </w:tc>
        <w:tc>
          <w:tcPr>
            <w:tcW w:type="dxa" w:w="2200"/>
            <w:tcBorders>
              <w:top w:val="single" w:color="333333" w:sz="4"/>
              <w:left w:val="single" w:color="333333" w:sz="4"/>
              <w:bottom w:val="single" w:color="333333" w:sz="4"/>
              <w:right w:val="single" w:color="333333" w:sz="4"/>
            </w:tcBorders>
            <w:shd w:fill="1E2761" w:color="auto" w:val="clear"/>
            <w:tcMar>
              <w:top w:type="dxa" w:w="90"/>
              <w:left w:type="dxa" w:w="110"/>
              <w:bottom w:type="dxa" w:w="90"/>
              <w:right w:type="dxa" w:w="110"/>
            </w:tcMar>
          </w:tcPr>
          <w:p>
            <w:pPr>
              <w:spacing w:line="280"/>
              <w:jc w:val="center"/>
            </w:pPr>
            <w:r>
              <w:rPr>
                <w:rFonts w:ascii="Times New Roman" w:cs="Times New Roman" w:eastAsia="Times New Roman" w:hAnsi="Times New Roman"/>
                <w:b/>
                <w:bCs/>
                <w:color w:val="FFFFFF"/>
                <w:sz w:val="22"/>
                <w:szCs w:val="22"/>
              </w:rPr>
              <w:t xml:space="preserve">Kanban Tradicional</w:t>
            </w:r>
          </w:p>
        </w:tc>
        <w:tc>
          <w:tcPr>
            <w:tcW w:type="dxa" w:w="2200"/>
            <w:tcBorders>
              <w:top w:val="single" w:color="333333" w:sz="4"/>
              <w:left w:val="single" w:color="333333" w:sz="4"/>
              <w:bottom w:val="single" w:color="333333" w:sz="4"/>
              <w:right w:val="single" w:color="333333" w:sz="4"/>
            </w:tcBorders>
            <w:shd w:fill="1E2761" w:color="auto" w:val="clear"/>
            <w:tcMar>
              <w:top w:type="dxa" w:w="90"/>
              <w:left w:type="dxa" w:w="110"/>
              <w:bottom w:type="dxa" w:w="90"/>
              <w:right w:type="dxa" w:w="110"/>
            </w:tcMar>
          </w:tcPr>
          <w:p>
            <w:pPr>
              <w:spacing w:line="280"/>
              <w:jc w:val="center"/>
            </w:pPr>
            <w:r>
              <w:rPr>
                <w:rFonts w:ascii="Times New Roman" w:cs="Times New Roman" w:eastAsia="Times New Roman" w:hAnsi="Times New Roman"/>
                <w:b/>
                <w:bCs/>
                <w:color w:val="FFFFFF"/>
                <w:sz w:val="22"/>
                <w:szCs w:val="22"/>
              </w:rPr>
              <w:t xml:space="preserve">Kanban IA</w:t>
            </w:r>
          </w:p>
        </w:tc>
        <w:tc>
          <w:tcPr>
            <w:tcW w:type="dxa" w:w="2200"/>
            <w:tcBorders>
              <w:top w:val="single" w:color="333333" w:sz="4"/>
              <w:left w:val="single" w:color="333333" w:sz="4"/>
              <w:bottom w:val="single" w:color="333333" w:sz="4"/>
              <w:right w:val="single" w:color="333333" w:sz="4"/>
            </w:tcBorders>
            <w:shd w:fill="1E2761" w:color="auto" w:val="clear"/>
            <w:tcMar>
              <w:top w:type="dxa" w:w="90"/>
              <w:left w:type="dxa" w:w="110"/>
              <w:bottom w:type="dxa" w:w="90"/>
              <w:right w:type="dxa" w:w="110"/>
            </w:tcMar>
          </w:tcPr>
          <w:p>
            <w:pPr>
              <w:spacing w:line="280"/>
              <w:jc w:val="center"/>
            </w:pPr>
            <w:r>
              <w:rPr>
                <w:rFonts w:ascii="Times New Roman" w:cs="Times New Roman" w:eastAsia="Times New Roman" w:hAnsi="Times New Roman"/>
                <w:b/>
                <w:bCs/>
                <w:color w:val="FFFFFF"/>
                <w:sz w:val="22"/>
                <w:szCs w:val="22"/>
              </w:rPr>
              <w:t xml:space="preserve">Redução esperada</w:t>
            </w:r>
          </w:p>
        </w:tc>
      </w:tr>
      <w:tr>
        <w:tc>
          <w:tcPr>
            <w:tcW w:type="dxa" w:w="276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left"/>
            </w:pPr>
            <w:r>
              <w:rPr>
                <w:rFonts w:ascii="Times New Roman" w:cs="Times New Roman" w:eastAsia="Times New Roman" w:hAnsi="Times New Roman"/>
                <w:b w:val="false"/>
                <w:bCs w:val="false"/>
                <w:color w:val="000000"/>
                <w:sz w:val="22"/>
                <w:szCs w:val="22"/>
              </w:rPr>
              <w:t xml:space="preserve">Wait Time</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47,5 min</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3,5 min</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bCs/>
                <w:color w:val="000000"/>
                <w:sz w:val="22"/>
                <w:szCs w:val="22"/>
              </w:rPr>
              <w:t xml:space="preserve">92,6%</w:t>
            </w:r>
          </w:p>
        </w:tc>
      </w:tr>
      <w:tr>
        <w:tc>
          <w:tcPr>
            <w:tcW w:type="dxa" w:w="276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left"/>
            </w:pPr>
            <w:r>
              <w:rPr>
                <w:rFonts w:ascii="Times New Roman" w:cs="Times New Roman" w:eastAsia="Times New Roman" w:hAnsi="Times New Roman"/>
                <w:b w:val="false"/>
                <w:bCs w:val="false"/>
                <w:color w:val="000000"/>
                <w:sz w:val="22"/>
                <w:szCs w:val="22"/>
              </w:rPr>
              <w:t xml:space="preserve">Touch Time</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123,1 min</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91,0 min</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bCs/>
                <w:color w:val="000000"/>
                <w:sz w:val="22"/>
                <w:szCs w:val="22"/>
              </w:rPr>
              <w:t xml:space="preserve">26,1%</w:t>
            </w:r>
          </w:p>
        </w:tc>
      </w:tr>
      <w:tr>
        <w:tc>
          <w:tcPr>
            <w:tcW w:type="dxa" w:w="276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left"/>
            </w:pPr>
            <w:r>
              <w:rPr>
                <w:rFonts w:ascii="Times New Roman" w:cs="Times New Roman" w:eastAsia="Times New Roman" w:hAnsi="Times New Roman"/>
                <w:b w:val="false"/>
                <w:bCs w:val="false"/>
                <w:color w:val="000000"/>
                <w:sz w:val="22"/>
                <w:szCs w:val="22"/>
              </w:rPr>
              <w:t xml:space="preserve">Cycle Time</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170,6 min</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94,5 min</w:t>
            </w:r>
          </w:p>
        </w:tc>
        <w:tc>
          <w:tcPr>
            <w:tcW w:type="dxa" w:w="22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bCs/>
                <w:color w:val="000000"/>
                <w:sz w:val="22"/>
                <w:szCs w:val="22"/>
              </w:rPr>
              <w:t xml:space="preserve">44,6%</w:t>
            </w:r>
          </w:p>
        </w:tc>
      </w:tr>
    </w:tbl>
    <w:p>
      <w:pPr>
        <w:spacing w:after="240" w:before="80"/>
        <w:jc w:val="center"/>
      </w:pPr>
      <w:r>
        <w:rPr>
          <w:rFonts w:ascii="Times New Roman" w:cs="Times New Roman" w:eastAsia="Times New Roman" w:hAnsi="Times New Roman"/>
          <w:i/>
          <w:iCs/>
          <w:sz w:val="20"/>
          <w:szCs w:val="20"/>
        </w:rPr>
        <w:t xml:space="preserve">Fonte: projeções preliminares da simulação, elaboradas pelo autor (2026).</w:t>
      </w:r>
    </w:p>
    <w:p>
      <w:pPr>
        <w:spacing w:after="0" w:before="120" w:line="360"/>
        <w:ind w:firstLine="720"/>
        <w:jc w:val="both"/>
      </w:pPr>
      <w:r>
        <w:rPr>
          <w:rFonts w:ascii="Times New Roman" w:cs="Times New Roman" w:eastAsia="Times New Roman" w:hAnsi="Times New Roman"/>
          <w:b w:val="false"/>
          <w:bCs w:val="false"/>
          <w:i w:val="false"/>
          <w:iCs w:val="false"/>
          <w:sz w:val="24"/>
          <w:szCs w:val="24"/>
        </w:rPr>
        <w:t xml:space="preserve">Conforme se observa, espera-se que o Wait Time seja reduzido em aproximadamente 92,6%, caindo de cerca de 47,5 minutos para algo próximo de 3,5 minutos por cartão — confirmando a hipótese de que o tempo de espera por informação é a principal fonte de ineficiência atacada pelo mecanismo. O Cycle Time global, por sua vez, deverá apresentar redução em torno de 44,6%.</w:t>
      </w:r>
    </w:p>
    <w:p>
      <w:pPr>
        <w:pStyle w:val="Heading2"/>
        <w:spacing w:after="240" w:before="360" w:line="360"/>
        <w:jc w:val="left"/>
      </w:pPr>
      <w:r>
        <w:rPr>
          <w:rFonts w:ascii="Times New Roman" w:cs="Times New Roman" w:eastAsia="Times New Roman" w:hAnsi="Times New Roman"/>
          <w:b/>
          <w:bCs/>
          <w:sz w:val="26"/>
          <w:szCs w:val="26"/>
        </w:rPr>
        <w:t xml:space="preserve">2.3 Resultados Esperados quanto a SLA e First Contact Resolution</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No tocante à conformidade contratual, espera-se que a taxa de quebra de SLA — definida como o percentual de cartões cujo Cycle Time ultrapassa o limite de 240 minutos — seja reduzida de aproximadamente 28,3% no Kanban tradicional para um patamar próximo de 0,0% no Mecanismo Kanban IA, mitigando de forma quase integral a exposição a multas contratuais (hipótese H1b).</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Quanto à autonomia do operador, espera-se que a taxa de First Contact Resolution evolua de cerca de 53,4% para aproximadamente 95,3%, em decorrência da disponibilidade imediata, na própria interface, de um roteiro de resolução validado pela política corporativa (hipótese H1c). Tal elevação representa ganho de aproximadamente 41,9 pontos percentuais na resolução sem escalonamento.</w:t>
      </w:r>
    </w:p>
    <w:p>
      <w:pPr>
        <w:pStyle w:val="Heading2"/>
        <w:spacing w:after="240" w:before="360" w:line="360"/>
        <w:jc w:val="left"/>
      </w:pPr>
      <w:r>
        <w:rPr>
          <w:rFonts w:ascii="Times New Roman" w:cs="Times New Roman" w:eastAsia="Times New Roman" w:hAnsi="Times New Roman"/>
          <w:b/>
          <w:bCs/>
          <w:sz w:val="26"/>
          <w:szCs w:val="26"/>
        </w:rPr>
        <w:t xml:space="preserve">2.4 Resultados Esperados quanto à Eficiência Computacional</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No plano da eficiência computacional, espera-se que a estratégia de pré-filtragem por Tags de Autorização Temática reduza substancialmente o volume de tokens transmitidos ao modelo de linguagem a cada requisição (hipótese H1d). Estima-se uma redução da ordem de 87,5% no payload médio — de aproximadamente 12.000 tokens, em uma abordagem RAG genérica que envia todo o corpus da empresa, para cerca de 1.500 tokens, ao enviar apenas o fragmento de conhecimento estritamente pertinente à tarefa.</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Espera-se, ademais, que essa economia computacional viabilize latência de resposta inferior a 1,5 segundo, tornando o sistema apto a operar em tempo real na interface reativa e neutralizando o principal argumento contrário à adoção de Large Language Models em escala corporativa: o custo recorrente por interação.</w:t>
      </w:r>
    </w:p>
    <w:p>
      <w:pPr>
        <w:pStyle w:val="Heading2"/>
        <w:spacing w:after="240" w:before="360" w:line="360"/>
        <w:jc w:val="left"/>
      </w:pPr>
      <w:r>
        <w:rPr>
          <w:rFonts w:ascii="Times New Roman" w:cs="Times New Roman" w:eastAsia="Times New Roman" w:hAnsi="Times New Roman"/>
          <w:b/>
          <w:bCs/>
          <w:sz w:val="26"/>
          <w:szCs w:val="26"/>
        </w:rPr>
        <w:t xml:space="preserve">2.5 Resultados Esperados quanto ao Retorno Financeiro</w:t>
      </w:r>
    </w:p>
    <w:p>
      <w:pPr>
        <w:spacing w:after="200" w:before="0" w:line="360"/>
        <w:ind w:firstLine="720"/>
        <w:jc w:val="both"/>
      </w:pPr>
      <w:r>
        <w:rPr>
          <w:rFonts w:ascii="Times New Roman" w:cs="Times New Roman" w:eastAsia="Times New Roman" w:hAnsi="Times New Roman"/>
          <w:b w:val="false"/>
          <w:bCs w:val="false"/>
          <w:i w:val="false"/>
          <w:iCs w:val="false"/>
          <w:sz w:val="24"/>
          <w:szCs w:val="24"/>
        </w:rPr>
        <w:t xml:space="preserve">A partir dos ganhos de tempo projetados, espera-se demonstrar retorno financeiro relevante. Considerando um custo médio de R$ 50,00 por hora técnica operacional, estima-se a economia de aproximadamente 126,8 horas operacionais a cada lote de 100 cartões processados. Projetada para uma operação de médio porte, com mil chamados mensais, essa economia deverá ultrapassar a marca de um milhão de reais anuais em força de trabalho, sem contabilizar ganhos indiretos com a redução de passivos contratuais por descumprimento de SLA e com a melhoria da experiência do cliente.</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Ressalta-se que tais valores constituem estimativa de cenário, e não um retorno auditado, destinando-se a dimensionar a ordem de grandeza do impacto econômico potencial da solução.</w:t>
      </w:r>
    </w:p>
    <w:p>
      <w:pPr>
        <w:pStyle w:val="Heading2"/>
        <w:spacing w:after="240" w:before="360" w:line="360"/>
        <w:jc w:val="left"/>
      </w:pPr>
      <w:r>
        <w:rPr>
          <w:rFonts w:ascii="Times New Roman" w:cs="Times New Roman" w:eastAsia="Times New Roman" w:hAnsi="Times New Roman"/>
          <w:b/>
          <w:bCs/>
          <w:sz w:val="26"/>
          <w:szCs w:val="26"/>
        </w:rPr>
        <w:t xml:space="preserve">2.6 Validação Preliminar e Síntese das Expectativas</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As projeções preliminares obtidas a partir das primeiras execuções do simulador, com replicação Monte Carlo de trinta amostras, corroboram integralmente as hipóteses formuladas. O teste t pareado bilateral aplicado às diferenças entre os dois sistemas produziu estatísticas t consistentemente superiores ao valor crítico de 3,659 (referente a vinte e nove graus de liberdade e α = 0,001) em todas as métricas analisadas, conforme sintetizado na Tabela 2.</w:t>
      </w:r>
    </w:p>
    <w:p>
      <w:pPr>
        <w:spacing w:after="120" w:before="200"/>
        <w:jc w:val="center"/>
      </w:pPr>
      <w:r>
        <w:rPr>
          <w:rFonts w:ascii="Times New Roman" w:cs="Times New Roman" w:eastAsia="Times New Roman" w:hAnsi="Times New Roman"/>
          <w:b/>
          <w:bCs/>
          <w:sz w:val="22"/>
          <w:szCs w:val="22"/>
        </w:rPr>
        <w:t xml:space="preserve">Tabela 2 – Síntese das expectativas e significância estatística preliminar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333333" w:sz="4"/>
              <w:left w:val="single" w:color="333333" w:sz="4"/>
              <w:bottom w:val="single" w:color="333333" w:sz="4"/>
              <w:right w:val="single" w:color="333333" w:sz="4"/>
            </w:tcBorders>
            <w:shd w:fill="1E2761" w:color="auto" w:val="clear"/>
            <w:tcMar>
              <w:top w:type="dxa" w:w="90"/>
              <w:left w:type="dxa" w:w="110"/>
              <w:bottom w:type="dxa" w:w="90"/>
              <w:right w:type="dxa" w:w="110"/>
            </w:tcMar>
          </w:tcPr>
          <w:p>
            <w:pPr>
              <w:spacing w:line="280"/>
              <w:jc w:val="center"/>
            </w:pPr>
            <w:r>
              <w:rPr>
                <w:rFonts w:ascii="Times New Roman" w:cs="Times New Roman" w:eastAsia="Times New Roman" w:hAnsi="Times New Roman"/>
                <w:b/>
                <w:bCs/>
                <w:color w:val="FFFFFF"/>
                <w:sz w:val="22"/>
                <w:szCs w:val="22"/>
              </w:rPr>
              <w:t xml:space="preserve">Indicador</w:t>
            </w:r>
          </w:p>
        </w:tc>
        <w:tc>
          <w:tcPr>
            <w:tcW w:type="dxa" w:w="3000"/>
            <w:tcBorders>
              <w:top w:val="single" w:color="333333" w:sz="4"/>
              <w:left w:val="single" w:color="333333" w:sz="4"/>
              <w:bottom w:val="single" w:color="333333" w:sz="4"/>
              <w:right w:val="single" w:color="333333" w:sz="4"/>
            </w:tcBorders>
            <w:shd w:fill="1E2761" w:color="auto" w:val="clear"/>
            <w:tcMar>
              <w:top w:type="dxa" w:w="90"/>
              <w:left w:type="dxa" w:w="110"/>
              <w:bottom w:type="dxa" w:w="90"/>
              <w:right w:type="dxa" w:w="110"/>
            </w:tcMar>
          </w:tcPr>
          <w:p>
            <w:pPr>
              <w:spacing w:line="280"/>
              <w:jc w:val="center"/>
            </w:pPr>
            <w:r>
              <w:rPr>
                <w:rFonts w:ascii="Times New Roman" w:cs="Times New Roman" w:eastAsia="Times New Roman" w:hAnsi="Times New Roman"/>
                <w:b/>
                <w:bCs/>
                <w:color w:val="FFFFFF"/>
                <w:sz w:val="22"/>
                <w:szCs w:val="22"/>
              </w:rPr>
              <w:t xml:space="preserve">Expectativa</w:t>
            </w:r>
          </w:p>
        </w:tc>
        <w:tc>
          <w:tcPr>
            <w:tcW w:type="dxa" w:w="3000"/>
            <w:tcBorders>
              <w:top w:val="single" w:color="333333" w:sz="4"/>
              <w:left w:val="single" w:color="333333" w:sz="4"/>
              <w:bottom w:val="single" w:color="333333" w:sz="4"/>
              <w:right w:val="single" w:color="333333" w:sz="4"/>
            </w:tcBorders>
            <w:shd w:fill="1E2761" w:color="auto" w:val="clear"/>
            <w:tcMar>
              <w:top w:type="dxa" w:w="90"/>
              <w:left w:type="dxa" w:w="110"/>
              <w:bottom w:type="dxa" w:w="90"/>
              <w:right w:type="dxa" w:w="110"/>
            </w:tcMar>
          </w:tcPr>
          <w:p>
            <w:pPr>
              <w:spacing w:line="280"/>
              <w:jc w:val="center"/>
            </w:pPr>
            <w:r>
              <w:rPr>
                <w:rFonts w:ascii="Times New Roman" w:cs="Times New Roman" w:eastAsia="Times New Roman" w:hAnsi="Times New Roman"/>
                <w:b/>
                <w:bCs/>
                <w:color w:val="FFFFFF"/>
                <w:sz w:val="22"/>
                <w:szCs w:val="22"/>
              </w:rPr>
              <w:t xml:space="preserve">Estatística t (df=29)</w:t>
            </w:r>
          </w:p>
        </w:tc>
      </w:tr>
      <w:tr>
        <w:tc>
          <w:tcPr>
            <w:tcW w:type="dxa" w:w="336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left"/>
            </w:pPr>
            <w:r>
              <w:rPr>
                <w:rFonts w:ascii="Times New Roman" w:cs="Times New Roman" w:eastAsia="Times New Roman" w:hAnsi="Times New Roman"/>
                <w:b w:val="false"/>
                <w:bCs w:val="false"/>
                <w:color w:val="000000"/>
                <w:sz w:val="22"/>
                <w:szCs w:val="22"/>
              </w:rPr>
              <w:t xml:space="preserve">Redução do Wait Time</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92,6%</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99,7</w:t>
            </w:r>
          </w:p>
        </w:tc>
      </w:tr>
      <w:tr>
        <w:tc>
          <w:tcPr>
            <w:tcW w:type="dxa" w:w="336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left"/>
            </w:pPr>
            <w:r>
              <w:rPr>
                <w:rFonts w:ascii="Times New Roman" w:cs="Times New Roman" w:eastAsia="Times New Roman" w:hAnsi="Times New Roman"/>
                <w:b w:val="false"/>
                <w:bCs w:val="false"/>
                <w:color w:val="000000"/>
                <w:sz w:val="22"/>
                <w:szCs w:val="22"/>
              </w:rPr>
              <w:t xml:space="preserve">Redução do Cycle Time</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44,6%</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114,7</w:t>
            </w:r>
          </w:p>
        </w:tc>
      </w:tr>
      <w:tr>
        <w:tc>
          <w:tcPr>
            <w:tcW w:type="dxa" w:w="336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left"/>
            </w:pPr>
            <w:r>
              <w:rPr>
                <w:rFonts w:ascii="Times New Roman" w:cs="Times New Roman" w:eastAsia="Times New Roman" w:hAnsi="Times New Roman"/>
                <w:b w:val="false"/>
                <w:bCs w:val="false"/>
                <w:color w:val="000000"/>
                <w:sz w:val="22"/>
                <w:szCs w:val="22"/>
              </w:rPr>
              <w:t xml:space="preserve">Redução da Quebra de SLA</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28,3% → 0,0%</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39,3</w:t>
            </w:r>
          </w:p>
        </w:tc>
      </w:tr>
      <w:tr>
        <w:tc>
          <w:tcPr>
            <w:tcW w:type="dxa" w:w="336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left"/>
            </w:pPr>
            <w:r>
              <w:rPr>
                <w:rFonts w:ascii="Times New Roman" w:cs="Times New Roman" w:eastAsia="Times New Roman" w:hAnsi="Times New Roman"/>
                <w:b w:val="false"/>
                <w:bCs w:val="false"/>
                <w:color w:val="000000"/>
                <w:sz w:val="22"/>
                <w:szCs w:val="22"/>
              </w:rPr>
              <w:t xml:space="preserve">Elevação do FCR</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53,4% → 95,3%</w:t>
            </w:r>
          </w:p>
        </w:tc>
        <w:tc>
          <w:tcPr>
            <w:tcW w:type="dxa" w:w="3000"/>
            <w:tcBorders>
              <w:top w:val="single" w:color="333333" w:sz="4"/>
              <w:left w:val="single" w:color="333333" w:sz="4"/>
              <w:bottom w:val="single" w:color="333333" w:sz="4"/>
              <w:right w:val="single" w:color="333333" w:sz="4"/>
            </w:tcBorders>
            <w:tcMar>
              <w:top w:type="dxa" w:w="90"/>
              <w:left w:type="dxa" w:w="110"/>
              <w:bottom w:type="dxa" w:w="90"/>
              <w:right w:type="dxa" w:w="110"/>
            </w:tcMar>
          </w:tcPr>
          <w:p>
            <w:pPr>
              <w:spacing w:line="280"/>
              <w:jc w:val="center"/>
            </w:pPr>
            <w:r>
              <w:rPr>
                <w:rFonts w:ascii="Times New Roman" w:cs="Times New Roman" w:eastAsia="Times New Roman" w:hAnsi="Times New Roman"/>
                <w:b w:val="false"/>
                <w:bCs w:val="false"/>
                <w:color w:val="000000"/>
                <w:sz w:val="22"/>
                <w:szCs w:val="22"/>
              </w:rPr>
              <w:t xml:space="preserve">47,3</w:t>
            </w:r>
          </w:p>
        </w:tc>
      </w:tr>
    </w:tbl>
    <w:p>
      <w:pPr>
        <w:spacing w:after="240" w:before="80"/>
        <w:jc w:val="center"/>
      </w:pPr>
      <w:r>
        <w:rPr>
          <w:rFonts w:ascii="Times New Roman" w:cs="Times New Roman" w:eastAsia="Times New Roman" w:hAnsi="Times New Roman"/>
          <w:i/>
          <w:iCs/>
          <w:sz w:val="20"/>
          <w:szCs w:val="20"/>
        </w:rPr>
        <w:t xml:space="preserve">Fonte: projeções preliminares da simulação Monte Carlo, elaboradas pelo autor (2026).</w:t>
      </w:r>
    </w:p>
    <w:p>
      <w:pPr>
        <w:spacing w:after="0" w:before="0" w:line="360"/>
        <w:ind w:firstLine="720"/>
        <w:jc w:val="both"/>
      </w:pPr>
      <w:r>
        <w:rPr>
          <w:rFonts w:ascii="Times New Roman" w:cs="Times New Roman" w:eastAsia="Times New Roman" w:hAnsi="Times New Roman"/>
          <w:b w:val="false"/>
          <w:bCs w:val="false"/>
          <w:i w:val="false"/>
          <w:iCs w:val="false"/>
          <w:sz w:val="24"/>
          <w:szCs w:val="24"/>
        </w:rPr>
        <w:t xml:space="preserve">Diante desse quadro, espera-se que a versão final do trabalho confirme, com robustez estatística, que o Mecanismo Kanban IA representa evolução significativa em relação ao Kanban tradicional, rejeitando-se a hipótese nula com p &lt; 0,001 em todas as dimensões avaliadas. Reitera-se, por fim, que a simulação constitui uma prova de conceito quantitativa, cuja função é dimensionar o efeito esperado sob hipóteses fundamentadas na literatura, não substituindo a validação em ambiente produtivo real — etapa indicada como trabalho futuro prioritário.</w:t>
      </w:r>
    </w:p>
    <w:p>
      <w:pPr>
        <w:pStyle w:val="Heading1"/>
        <w:pageBreakBefore/>
        <w:spacing w:after="360" w:before="480" w:line="360"/>
        <w:jc w:val="left"/>
      </w:pPr>
      <w:r>
        <w:rPr>
          <w:rFonts w:ascii="Times New Roman" w:cs="Times New Roman" w:eastAsia="Times New Roman" w:hAnsi="Times New Roman"/>
          <w:b/>
          <w:bCs/>
          <w:sz w:val="28"/>
          <w:szCs w:val="28"/>
        </w:rPr>
        <w:t xml:space="preserve">REFERÊNCIAS</w:t>
      </w:r>
    </w:p>
    <w:p>
      <w:pPr>
        <w:spacing w:after="200" w:line="280"/>
        <w:jc w:val="both"/>
      </w:pPr>
      <w:r>
        <w:rPr>
          <w:rFonts w:ascii="Times New Roman" w:cs="Times New Roman" w:eastAsia="Times New Roman" w:hAnsi="Times New Roman"/>
          <w:sz w:val="24"/>
          <w:szCs w:val="24"/>
        </w:rPr>
        <w:t xml:space="preserve">ANDERSON, David J. Kanban: Successful Evolutionary Change for Your Technology Business. Sequim: Blue Hole Press, 2010. 261 p.</w:t>
      </w:r>
    </w:p>
    <w:p>
      <w:pPr>
        <w:spacing w:after="200" w:line="280"/>
        <w:jc w:val="both"/>
      </w:pPr>
      <w:r>
        <w:rPr>
          <w:rFonts w:ascii="Times New Roman" w:cs="Times New Roman" w:eastAsia="Times New Roman" w:hAnsi="Times New Roman"/>
          <w:sz w:val="24"/>
          <w:szCs w:val="24"/>
        </w:rPr>
        <w:t xml:space="preserve">BANKS, Jerry; CARSON II, John S.; NELSON, Barry L.; NICOL, David M. Discrete-Event System Simulation. 5. ed. Upper Saddle River: Pearson, 2010. 622 p.</w:t>
      </w:r>
    </w:p>
    <w:p>
      <w:pPr>
        <w:spacing w:after="200" w:line="280"/>
        <w:jc w:val="both"/>
      </w:pPr>
      <w:r>
        <w:rPr>
          <w:rFonts w:ascii="Times New Roman" w:cs="Times New Roman" w:eastAsia="Times New Roman" w:hAnsi="Times New Roman"/>
          <w:sz w:val="24"/>
          <w:szCs w:val="24"/>
        </w:rPr>
        <w:t xml:space="preserve">CHONG, Frederick; CARRARO, Gianpaolo. Architecture Strategies for Catching the Long Tail: Multi-Tenant SaaS Architecture. Redmond: Microsoft Corporation, 2006. Disponível em: https://learn.microsoft.com/en-us/previous-versions/dotnet/articles/aa479069(v=msdn.10). Acesso em: 11 mai. 2026.</w:t>
      </w:r>
    </w:p>
    <w:p>
      <w:pPr>
        <w:spacing w:after="200" w:line="280"/>
        <w:jc w:val="both"/>
      </w:pPr>
      <w:r>
        <w:rPr>
          <w:rFonts w:ascii="Times New Roman" w:cs="Times New Roman" w:eastAsia="Times New Roman" w:hAnsi="Times New Roman"/>
          <w:sz w:val="24"/>
          <w:szCs w:val="24"/>
        </w:rPr>
        <w:t xml:space="preserve">CHOO, Chun Wei. A organização do conhecimento: como as organizações usam a informação para criar significado, construir conhecimento e tomar decisões. São Paulo: Senac, 2003. 425 p.</w:t>
      </w:r>
    </w:p>
    <w:p>
      <w:pPr>
        <w:spacing w:after="200" w:line="280"/>
        <w:jc w:val="both"/>
      </w:pPr>
      <w:r>
        <w:rPr>
          <w:rFonts w:ascii="Times New Roman" w:cs="Times New Roman" w:eastAsia="Times New Roman" w:hAnsi="Times New Roman"/>
          <w:sz w:val="24"/>
          <w:szCs w:val="24"/>
        </w:rPr>
        <w:t xml:space="preserve">FELDMAN, Susan; SHERMAN, Chris. The High Cost of Not Finding Information. IDC White Paper #29127. Framingham: International Data Corporation, 2004.</w:t>
      </w:r>
    </w:p>
    <w:p>
      <w:pPr>
        <w:spacing w:after="200" w:line="280"/>
        <w:jc w:val="both"/>
      </w:pPr>
      <w:r>
        <w:rPr>
          <w:rFonts w:ascii="Times New Roman" w:cs="Times New Roman" w:eastAsia="Times New Roman" w:hAnsi="Times New Roman"/>
          <w:sz w:val="24"/>
          <w:szCs w:val="24"/>
        </w:rPr>
        <w:t xml:space="preserve">LEWIS, Patrick et al. Retrieval-Augmented Generation for Knowledge-Intensive NLP Tasks. In: Advances in Neural Information Processing Systems (NeurIPS), v. 33, p. 9459-9474, 2020. Disponível em: https://arxiv.org/abs/2005.11401. Acesso em: 11 mai. 2026.</w:t>
      </w:r>
    </w:p>
    <w:p>
      <w:pPr>
        <w:spacing w:after="200" w:line="280"/>
        <w:jc w:val="both"/>
      </w:pPr>
      <w:r>
        <w:rPr>
          <w:rFonts w:ascii="Times New Roman" w:cs="Times New Roman" w:eastAsia="Times New Roman" w:hAnsi="Times New Roman"/>
          <w:sz w:val="24"/>
          <w:szCs w:val="24"/>
        </w:rPr>
        <w:t xml:space="preserve">MIN, Sewon et al. Rethinking the Role of Demonstrations: What Makes In-Context Learning Work? In: Proceedings of the 2022 Conference on Empirical Methods in Natural Language Processing (EMNLP), Abu Dhabi, 2022. Disponível em: https://arxiv.org/abs/2202.12837. Acesso em: 11 mai. 2026.</w:t>
      </w:r>
    </w:p>
    <w:p>
      <w:pPr>
        <w:spacing w:after="200" w:line="280"/>
        <w:jc w:val="both"/>
      </w:pPr>
      <w:r>
        <w:rPr>
          <w:rFonts w:ascii="Times New Roman" w:cs="Times New Roman" w:eastAsia="Times New Roman" w:hAnsi="Times New Roman"/>
          <w:sz w:val="24"/>
          <w:szCs w:val="24"/>
        </w:rPr>
        <w:t xml:space="preserve">POSTGRESQL GLOBAL DEVELOPMENT GROUP. PostgreSQL 16 Documentation: Row Security Policies. 2025. Disponível em: https://www.postgresql.org/docs/16/ddl-rowsecurity.html. Acesso em: 11 mai. 2026.</w:t>
      </w:r>
    </w:p>
    <w:p>
      <w:pPr>
        <w:spacing w:after="200" w:line="280"/>
        <w:jc w:val="both"/>
      </w:pPr>
      <w:r>
        <w:rPr>
          <w:rFonts w:ascii="Times New Roman" w:cs="Times New Roman" w:eastAsia="Times New Roman" w:hAnsi="Times New Roman"/>
          <w:sz w:val="24"/>
          <w:szCs w:val="24"/>
        </w:rPr>
        <w:t xml:space="preserve">REINERTSEN, Donald G. The Principles of Product Development Flow: Second Generation Lean Product Development. Redondo Beach: Celeritas Publishing, 2009. 294 p.</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TCC – Etapa 4 – Mecanismo Kanban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60" w:before="480" w:lin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240" w:before="360" w:lin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80" w:before="280" w:line="3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TCC - Etapa 4 - Introducao e Resultados Esperados</dc:title>
  <dc:creator>Vinicius Vilela Rufini</dc:creator>
  <dc:description>Etapa 4 do TCC - consistente com o TCC completo - UNIP</dc:description>
  <cp:lastModifiedBy>Un-named</cp:lastModifiedBy>
  <cp:revision>1</cp:revision>
  <dcterms:created xsi:type="dcterms:W3CDTF">2026-05-26T17:18:25.048Z</dcterms:created>
  <dcterms:modified xsi:type="dcterms:W3CDTF">2026-05-26T17:18:25.049Z</dcterms:modified>
</cp:coreProperties>
</file>

<file path=docProps/custom.xml><?xml version="1.0" encoding="utf-8"?>
<Properties xmlns="http://schemas.openxmlformats.org/officeDocument/2006/custom-properties" xmlns:vt="http://schemas.openxmlformats.org/officeDocument/2006/docPropsVTypes"/>
</file>