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3355"/>
          <w:sz w:val="30"/>
          <w:szCs w:val="30"/>
        </w:rPr>
        <w:t xml:space="preserve">PLANO DE TRABALHO — INICIAÇÃO CIENTÍFICA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3355"/>
          <w:sz w:val="24"/>
          <w:szCs w:val="24"/>
        </w:rPr>
        <w:t xml:space="preserve">Descarbonização e Eficiência Energética na RMC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Plano 1 — Inteligência de Dados e Governança Ambiental</w:t>
      </w:r>
    </w:p>
    <w:p>
      <w:pPr>
        <w:pBdr>
          <w:bottom w:val="single" w:color="1A3355" w:sz="10" w:space="8"/>
        </w:pBdr>
        <w:spacing w:after="3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Vinicius Teixeira de Oliveira  |  FATEC Campinas  |  Setembro de 2026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O setor automotivo está saindo da RMC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constatação altera a definição do estudo de caso principal e precisa ser considerada antes dos demais pontos do plano.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Honda saiu de Sumaré. </w:t>
      </w:r>
      <w:r>
        <w:rPr>
          <w:rFonts w:ascii="Calibri" w:cs="Calibri" w:eastAsia="Calibri" w:hAnsi="Calibri"/>
          <w:sz w:val="21"/>
          <w:szCs w:val="21"/>
        </w:rPr>
        <w:t xml:space="preserve">A produção de veículos foi transferida gradualmente para Itirapina, com previsão de conclusão em dezembro de 2021.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Toyota fechou Indaiatuba. </w:t>
      </w:r>
      <w:r>
        <w:rPr>
          <w:rFonts w:ascii="Calibri" w:cs="Calibri" w:eastAsia="Calibri" w:hAnsi="Calibri"/>
          <w:sz w:val="21"/>
          <w:szCs w:val="21"/>
        </w:rPr>
        <w:t xml:space="preserve">A unidade, que produzia o Corolla desde 1998, encerrou as atividades em 30 de junho de 2026, com a produção transferida para Sorocaba. A planta tinha capacidade de cerca de 76 mil veículos por ano e empregava aproximadamente 1,5 mil pessoas.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base de dados já levantada confirma o movimento. O registro “Honda Automóveis – Fábrica Sumaré”, do tipo Unidade, apresenta inventários de 2017 a 2021, parando exatamente no ano da transferência. O registro “Toyota do Brasil – Indaiatuba”, também Unidade, apresenta apenas 2021. O que permanece como “Honda Automóveis, Matriz, 2010–2025” é o consolidado nacional da empresa, com endereço em Sumaré, e não a fábrica.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Consequência para o projeto. </w:t>
      </w:r>
      <w:r>
        <w:rPr>
          <w:rFonts w:ascii="Calibri" w:cs="Calibri" w:eastAsia="Calibri" w:hAnsi="Calibri"/>
          <w:sz w:val="21"/>
          <w:szCs w:val="21"/>
        </w:rPr>
        <w:t xml:space="preserve">O setor automotivo não deixa de ser o carro-chefe, mas muda de natureza. Deixa de ser um estudo sobre o que as montadoras da RMC fazem para mitigar e passa a ser um caso documentado de emissão que sai do território sem que nada tenha sido mitigado. O inventário do município cai, mas nenhuma tonelada deixou de ser emitida: houve apenas deslocamento geográfico. O fenômeno tem tratamento na literatura como deslocamento de emissões, e o projeto dispõe de dois casos datados, com registro no Registro Público de Emissões marcando o ano exato.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Recomendação. </w:t>
      </w:r>
      <w:r>
        <w:rPr>
          <w:rFonts w:ascii="Calibri" w:cs="Calibri" w:eastAsia="Calibri" w:hAnsi="Calibri"/>
          <w:sz w:val="21"/>
          <w:szCs w:val="21"/>
        </w:rPr>
        <w:t xml:space="preserve">Utilizar o setor automotivo como estudo de caso, e não como base principal. A base principal deve ser construída sobre um conjunto setorial mais amplo, que permaneça em operação na região.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1. Começar a extrair dados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 que está correto. </w:t>
      </w:r>
      <w:r>
        <w:rPr>
          <w:rFonts w:ascii="Calibri" w:cs="Calibri" w:eastAsia="Calibri" w:hAnsi="Calibri"/>
          <w:sz w:val="21"/>
          <w:szCs w:val="21"/>
        </w:rPr>
        <w:t xml:space="preserve">É possível começar imediatamente.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Retificação. </w:t>
      </w:r>
      <w:r>
        <w:rPr>
          <w:rFonts w:ascii="Calibri" w:cs="Calibri" w:eastAsia="Calibri" w:hAnsi="Calibri"/>
          <w:sz w:val="21"/>
          <w:szCs w:val="21"/>
        </w:rPr>
        <w:t xml:space="preserve">Ainda não há nenhum valor de emissão disponível. O que existe é o catálogo de 36 organizações, indicando quem publicou e em quais anos. O passo que falta é baixar os inventários individualmente.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Ação. </w:t>
      </w:r>
      <w:r>
        <w:rPr>
          <w:rFonts w:ascii="Calibri" w:cs="Calibri" w:eastAsia="Calibri" w:hAnsi="Calibri"/>
          <w:sz w:val="21"/>
          <w:szCs w:val="21"/>
        </w:rPr>
        <w:t xml:space="preserve">Baixar os inventários das nove organizações com série de cinco anos ou mais. É o grupo que sustenta análise temporal e concentra o dado de melhor qualidade. Cronometrar o primeiro download e tratamento, para dimensionar o tempo de ciclo por organização.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2. Comparação internacional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 que está correto. </w:t>
      </w:r>
      <w:r>
        <w:rPr>
          <w:rFonts w:ascii="Calibri" w:cs="Calibri" w:eastAsia="Calibri" w:hAnsi="Calibri"/>
          <w:sz w:val="21"/>
          <w:szCs w:val="21"/>
        </w:rPr>
        <w:t xml:space="preserve">Comparar plantas do mesmo setor em diferentes países, identificar melhor e pior cenário, e mapear legislações estrangeiras que existem lá e não aqui. Constitui um bom eixo espacial de análise.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Retificação. </w:t>
      </w:r>
      <w:r>
        <w:rPr>
          <w:rFonts w:ascii="Calibri" w:cs="Calibri" w:eastAsia="Calibri" w:hAnsi="Calibri"/>
          <w:sz w:val="21"/>
          <w:szCs w:val="21"/>
        </w:rPr>
        <w:t xml:space="preserve">Não é possível comparar valor absoluto com valor absoluto. Plantas de países diferentes têm portes, produtos e matrizes elétricas distintos. O relatório global é consolidado corporativo; o inventário local é de uma unidade. A comparação entre totais não produz informação válida.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 solução é a intensidade de emissão</w:t>
      </w:r>
      <w:r>
        <w:rPr>
          <w:rFonts w:ascii="Calibri" w:cs="Calibri" w:eastAsia="Calibri" w:hAnsi="Calibri"/>
          <w:sz w:val="21"/>
          <w:szCs w:val="21"/>
        </w:rPr>
        <w:t xml:space="preserve">, ou seja, emissão dividida por uma unidade de produção: tCO₂e por veículo produzido, por tonelada ou por unidade de receita. Somente assim a comparação se torna legítima.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Legislação estrangeira. </w:t>
      </w:r>
      <w:r>
        <w:rPr>
          <w:rFonts w:ascii="Calibri" w:cs="Calibri" w:eastAsia="Calibri" w:hAnsi="Calibri"/>
          <w:sz w:val="21"/>
          <w:szCs w:val="21"/>
        </w:rPr>
        <w:t xml:space="preserve">As linhas mais produtivas são o sistema europeu de comércio de emissões, o mecanismo europeu de ajuste de carbono na fronteira, e os sistemas de precificação do Japão e da Califórnia. O contraponto brasileiro é o SBCE, ainda em fase preparatória. Essa comparação regulatória tem material suficiente para sustentar um artigo.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3. Comparar emissão do município com emissão da empresa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 que está correto. </w:t>
      </w:r>
      <w:r>
        <w:rPr>
          <w:rFonts w:ascii="Calibri" w:cs="Calibri" w:eastAsia="Calibri" w:hAnsi="Calibri"/>
          <w:sz w:val="21"/>
          <w:szCs w:val="21"/>
        </w:rPr>
        <w:t xml:space="preserve">É uma pergunta legítima e relevante para o projeto.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Retificação. </w:t>
      </w:r>
      <w:r>
        <w:rPr>
          <w:rFonts w:ascii="Calibri" w:cs="Calibri" w:eastAsia="Calibri" w:hAnsi="Calibri"/>
          <w:sz w:val="21"/>
          <w:szCs w:val="21"/>
        </w:rPr>
        <w:t xml:space="preserve">Não comparar totais, e sim subconjuntos equivalentes: o Escopo 1 de combustão estacionária das empresas contra o setor de energia ou de processos industriais daquele município no SEEG. Deve-se considerar ainda que muitas empresas reportam o consolidado nacional, de modo que o número não pertence integralmente ao município.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Reformulação produtiva. </w:t>
      </w:r>
      <w:r>
        <w:rPr>
          <w:rFonts w:ascii="Calibri" w:cs="Calibri" w:eastAsia="Calibri" w:hAnsi="Calibri"/>
          <w:sz w:val="21"/>
          <w:szCs w:val="21"/>
        </w:rPr>
        <w:t xml:space="preserve">Em vez de perguntar quanto a empresa representa do município, perguntar que fração do que o município emite está coberta por organizações que publicam inventário. Trata-se de um indicador de cobertura da transparência, metodologicamente defensável.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4. Cruzar ou manter separadas as duas camadas de dados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Existem dois tipos de dado que aparentam medir a mesma coisa, mas não medem.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Territorial (SEEG, municipal): </w:t>
      </w:r>
      <w:r>
        <w:rPr>
          <w:rFonts w:ascii="Calibri" w:cs="Calibri" w:eastAsia="Calibri" w:hAnsi="Calibri"/>
          <w:sz w:val="21"/>
          <w:szCs w:val="21"/>
        </w:rPr>
        <w:t xml:space="preserve">abordagem top-down. Parte de estatísticas gerais de consumo e atividade econômica e as distribui pelo território.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Corporativo (Registro Público de Emissões): </w:t>
      </w:r>
      <w:r>
        <w:rPr>
          <w:rFonts w:ascii="Calibri" w:cs="Calibri" w:eastAsia="Calibri" w:hAnsi="Calibri"/>
          <w:sz w:val="21"/>
          <w:szCs w:val="21"/>
        </w:rPr>
        <w:t xml:space="preserve">abordagem bottom-up. Parte da nota fiscal de combustível e da conta de energia de cada organização.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F6B3B"/>
          <w:sz w:val="23"/>
          <w:szCs w:val="23"/>
        </w:rPr>
        <w:t xml:space="preserve">Manter separadas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Significa dois painéis e duas narrativas. O dado municipal funciona como pano de fundo: o território emite determinado volume, distribuído por setor. O dado corporativo é o objeto de estudo: estas organizações emitem determinado volume e evoluíram de determinada forma. A comparação entre ambos é qualitativa, feita no texto, e não por meio de cálculo.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F6B3B"/>
          <w:sz w:val="23"/>
          <w:szCs w:val="23"/>
        </w:rPr>
        <w:t xml:space="preserve">Cruzar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Significa produzir um número que combina as duas fontes. Apenas um cruzamento é defensável: o indicador de cobertura descrito no ponto 3, sempre identificado como aproximação e acompanhado das regras de compatibilização explicitadas.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F6B3B"/>
          <w:sz w:val="23"/>
          <w:szCs w:val="23"/>
        </w:rPr>
        <w:t xml:space="preserve">Cruzamentos inválidos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Subtrair a emissão das empresas da emissão do município para obter o restante, ou somar empresas para compor o total municipal. Ambos são inválidos por três motivos: o reporte consolidado nacional, o Escopo 2 contabilizado em outro território, e a diferença de método de cálculo entre as abordagens.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Recomendação. </w:t>
      </w:r>
      <w:r>
        <w:rPr>
          <w:rFonts w:ascii="Calibri" w:cs="Calibri" w:eastAsia="Calibri" w:hAnsi="Calibri"/>
          <w:sz w:val="21"/>
          <w:szCs w:val="21"/>
        </w:rPr>
        <w:t xml:space="preserve">Manter as camadas separadas, com um indicador de cobertura explícito e transparente quanto às suas limitações. É a alternativa mais defensável em banca e não exige justificar um cálculo frágil.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5. Emissão versus produtividade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Avaliação. </w:t>
      </w:r>
      <w:r>
        <w:rPr>
          <w:rFonts w:ascii="Calibri" w:cs="Calibri" w:eastAsia="Calibri" w:hAnsi="Calibri"/>
          <w:sz w:val="21"/>
          <w:szCs w:val="21"/>
        </w:rPr>
        <w:t xml:space="preserve">Este é o ponto mais forte do plano e corresponde à pergunta central da literatura de descarbonização.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queda da emissão absoluta pode significar duas coisas opostas: ganho de eficiência ou redução de produção. Somente a intensidade de emissão distingue as duas. Uma organização pode reduzir 20% da emissão total tendo piorado em eficiência, caso tenha produzido 30% a menos.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Ação. </w:t>
      </w:r>
      <w:r>
        <w:rPr>
          <w:rFonts w:ascii="Calibri" w:cs="Calibri" w:eastAsia="Calibri" w:hAnsi="Calibri"/>
          <w:sz w:val="21"/>
          <w:szCs w:val="21"/>
        </w:rPr>
        <w:t xml:space="preserve">Para cada organização e ano, coletar um denominador de produção. Fontes: dados setoriais da ANFAVEA para o setor automotivo, relatórios anuais das próprias empresas, e a RAIS para emprego como proxy de porte.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Retificação. </w:t>
      </w:r>
      <w:r>
        <w:rPr>
          <w:rFonts w:ascii="Calibri" w:cs="Calibri" w:eastAsia="Calibri" w:hAnsi="Calibri"/>
          <w:sz w:val="21"/>
          <w:szCs w:val="21"/>
        </w:rPr>
        <w:t xml:space="preserve">A hipótese sobre pressão de mercado, escassez de mão de obra e necessidade de produzir mais é hipótese, e não conclusão. Deve ser registrada como tal. O dado de emissão isoladamente não demonstra causalidade de mercado. Para sustentar o argumento seriam necessários dados de emprego e produção em paralelo, e ainda assim o que se afirma é correlação, não causa.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6. As plantas automotivas da RMC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Confirmadas na base e ainda ativas: </w:t>
      </w:r>
      <w:r>
        <w:rPr>
          <w:rFonts w:ascii="Calibri" w:cs="Calibri" w:eastAsia="Calibri" w:hAnsi="Calibri"/>
          <w:sz w:val="21"/>
          <w:szCs w:val="21"/>
        </w:rPr>
        <w:t xml:space="preserve">Denso, em Santa Bárbara d'Oeste; CEBI Brasil e KION, em Indaiatuba; Mopar, em Hortolândia.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Encerradas ou transferidas: </w:t>
      </w:r>
      <w:r>
        <w:rPr>
          <w:rFonts w:ascii="Calibri" w:cs="Calibri" w:eastAsia="Calibri" w:hAnsi="Calibri"/>
          <w:sz w:val="21"/>
          <w:szCs w:val="21"/>
        </w:rPr>
        <w:t xml:space="preserve">Honda, em Sumaré, e Toyota, em Indaiatuba.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Provavelmente ausentes da base. </w:t>
      </w:r>
      <w:r>
        <w:rPr>
          <w:rFonts w:ascii="Calibri" w:cs="Calibri" w:eastAsia="Calibri" w:hAnsi="Calibri"/>
          <w:sz w:val="21"/>
          <w:szCs w:val="21"/>
        </w:rPr>
        <w:t xml:space="preserve">Candidatas de autopeças e pneus com presença histórica na região, a serem verificadas individualmente: Bosch, Pirelli, Goodyear, Eaton, Marelli, Mahle, Valeo, ZF e John Deere. A relação é hipótese de trabalho, não lista validada.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Fontes para montar a lista de forma defensável: </w:t>
      </w:r>
      <w:r>
        <w:rPr>
          <w:rFonts w:ascii="Calibri" w:cs="Calibri" w:eastAsia="Calibri" w:hAnsi="Calibri"/>
          <w:sz w:val="21"/>
          <w:szCs w:val="21"/>
        </w:rPr>
        <w:t xml:space="preserve">o cadastro de associados do Sindipeças, o diretório regional do CIESP e a base de empresas do Sindicato dos Metalúrgicos da região, que relaciona nominalmente as plantas sob sua representação. Todas são fontes públicas, verificáveis e citáveis.</w:t>
      </w:r>
    </w:p>
    <w:p>
      <w:pPr>
        <w:pStyle w:val="Heading1"/>
        <w:pBdr>
          <w:bottom w:val="single" w:color="1A335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A3355"/>
          <w:sz w:val="26"/>
          <w:szCs w:val="26"/>
        </w:rPr>
        <w:t xml:space="preserve">Ordem de execução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Baixar os inventários das nove organizações com série longa e montar a primeira tabela com valores por escopo e por ano.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Adicionar as colunas de setor, grupo econômico e denominador de produção.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Levantar a lista completa de plantas automotivas da RMC nas fontes indicadas no ponto 6.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Calcular a intensidade de emissão e produzir o primeiro gráfico comparando emissão absoluta e intensidade.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Somente então iniciar a construção do painel.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Encaminhamento imediato. </w:t>
      </w:r>
      <w:r>
        <w:rPr>
          <w:rFonts w:ascii="Calibri" w:cs="Calibri" w:eastAsia="Calibri" w:hAnsi="Calibri"/>
          <w:sz w:val="21"/>
          <w:szCs w:val="21"/>
        </w:rPr>
        <w:t xml:space="preserve">Levar a constatação sobre Honda e Toyota à próxima reunião de orientação. Trata-se de achado datado, sustentado pelos próprios dados levantados, e não solicitado previamente.</w:t>
      </w:r>
    </w:p>
    <w:sectPr>
      <w:pgSz w:w="11906" w:h="16838" w:orient="portrait"/>
      <w:pgMar w:top="1150" w:right="1250" w:bottom="11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Trabalho — Iniciação Científica — Descarbonização e Eficiência Energética na RMC</dc:title>
  <dc:creator>Vinicius Teixeira de Oliveira</dc:creator>
  <cp:lastModifiedBy>Un-named</cp:lastModifiedBy>
  <cp:revision>1</cp:revision>
  <dcterms:created xsi:type="dcterms:W3CDTF">2026-09-22T22:41:03.169Z</dcterms:created>
  <dcterms:modified xsi:type="dcterms:W3CDTF">2026-09-22T22:41:03.170Z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