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jc w:val="center"/>
        <w:rPr>
          <w:rFonts w:ascii="Google Sans" w:hAnsi="Google Sans" w:eastAsia="Google Sans" w:cs="Google Sans"/>
        </w:rPr>
      </w:pPr>
      <w:bookmarkStart w:id="0" w:name="_87tykp1u0l36"/>
      <w:bookmarkEnd w:id="0"/>
      <w:r>
        <w:rPr>
          <w:rFonts w:eastAsia="Google Sans" w:cs="Google Sans" w:ascii="Google Sans" w:hAnsi="Google Sans"/>
        </w:rPr>
        <w:t>Controls and compliance checklist</w:t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 xml:space="preserve">To complete the controls assessment checklist, refer to the information provided in the </w:t>
      </w:r>
      <w:r>
        <w:fldChar w:fldCharType="begin"/>
      </w:r>
      <w:r>
        <w:rPr>
          <w:rStyle w:val="Style3"/>
          <w:sz w:val="24"/>
          <w:u w:val="single"/>
          <w:szCs w:val="24"/>
          <w:rFonts w:eastAsia="Google Sans" w:cs="Google Sans" w:ascii="Google Sans" w:hAnsi="Google Sans"/>
          <w:color w:val="1155CC"/>
        </w:rPr>
        <w:instrText xml:space="preserve"> HYPERLINK "https://docs.google.com/document/d/1s2u_RuhRAI40JSh-eZHvaFsV1ZMxcNSWXifHDTOsgFc/template/preview" \l "heading=h.evidx83t54sc"</w:instrText>
      </w:r>
      <w:r>
        <w:rPr>
          <w:rStyle w:val="Style3"/>
          <w:sz w:val="24"/>
          <w:u w:val="single"/>
          <w:szCs w:val="24"/>
          <w:rFonts w:eastAsia="Google Sans" w:cs="Google Sans" w:ascii="Google Sans" w:hAnsi="Google Sans"/>
          <w:color w:val="1155CC"/>
        </w:rPr>
        <w:fldChar w:fldCharType="separate"/>
      </w:r>
      <w:r>
        <w:rPr>
          <w:rStyle w:val="Style3"/>
          <w:rFonts w:eastAsia="Google Sans" w:cs="Google Sans" w:ascii="Google Sans" w:hAnsi="Google Sans"/>
          <w:color w:val="1155CC"/>
          <w:sz w:val="24"/>
          <w:szCs w:val="24"/>
          <w:u w:val="single"/>
        </w:rPr>
        <w:t>scope, goals, and risk assessment report</w:t>
      </w:r>
      <w:r>
        <w:rPr>
          <w:rStyle w:val="Style3"/>
          <w:sz w:val="24"/>
          <w:u w:val="single"/>
          <w:szCs w:val="24"/>
          <w:rFonts w:eastAsia="Google Sans" w:cs="Google Sans" w:ascii="Google Sans" w:hAnsi="Google Sans"/>
          <w:color w:val="1155CC"/>
        </w:rPr>
        <w:fldChar w:fldCharType="end"/>
      </w:r>
      <w:r>
        <w:rPr>
          <w:rFonts w:eastAsia="Google Sans" w:cs="Google Sans" w:ascii="Google Sans" w:hAnsi="Google Sans"/>
          <w:sz w:val="24"/>
          <w:szCs w:val="24"/>
        </w:rPr>
        <w:t xml:space="preserve">. For more details about each control, including the type and purpose, refer to the </w:t>
      </w:r>
      <w:hyperlink r:id="rId2">
        <w:r>
          <w:rPr>
            <w:rStyle w:val="Style3"/>
            <w:rFonts w:eastAsia="Google Sans" w:cs="Google Sans" w:ascii="Google Sans" w:hAnsi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eastAsia="Google Sans" w:cs="Google Sans" w:ascii="Google Sans" w:hAnsi="Google Sans"/>
          <w:sz w:val="24"/>
          <w:szCs w:val="24"/>
        </w:rPr>
        <w:t xml:space="preserve"> document.</w:t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rPr>
          <w:rFonts w:ascii="Google Sans" w:hAnsi="Google Sans" w:eastAsia="Google Sans" w:cs="Google Sans"/>
          <w:i/>
          <w:i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 xml:space="preserve">Then, select “yes” or “no” to answer the question: </w:t>
      </w:r>
      <w:r>
        <w:rPr>
          <w:rFonts w:eastAsia="Google Sans" w:cs="Google Sans" w:ascii="Google Sans" w:hAnsi="Google Sans"/>
          <w:i/>
          <w:sz w:val="24"/>
          <w:szCs w:val="24"/>
        </w:rPr>
        <w:t xml:space="preserve">Does Botium Toys currently have this control in place?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  <w:sz w:val="26"/>
          <w:szCs w:val="26"/>
        </w:rPr>
      </w:pPr>
      <w:r>
        <w:rPr>
          <w:rFonts w:eastAsia="Google Sans" w:cs="Google Sans" w:ascii="Google Sans" w:hAnsi="Google Sans"/>
          <w:b/>
          <w:sz w:val="24"/>
          <w:szCs w:val="24"/>
        </w:rPr>
        <w:t>Controls assessment checklist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0"/>
        <w:gridCol w:w="944"/>
        <w:gridCol w:w="7516"/>
      </w:tblGrid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 xml:space="preserve">  </w:t>
            </w: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Yes</w:t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 xml:space="preserve">    </w:t>
            </w: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No</w:t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Control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2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5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Least Privilege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Disaster recovery plans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6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Password policies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7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Separation of duties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3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Firewall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7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Intrusion detection system (IDS)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Backups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9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Antivirus software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4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Manual monitoring, maintenance, and intervention for legacy systems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2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5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Encryption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Password management system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20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Locks (offices, storefront, warehouse)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6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Closed-circuit television (CCTV) surveillance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Fire detection/prevention (fire alarm, sprinkler system, etc.)</w:t>
            </w:r>
          </w:p>
        </w:tc>
      </w:tr>
    </w:tbl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 xml:space="preserve">To complete the compliance checklist, refer to the information provided in the </w:t>
      </w:r>
      <w:hyperlink r:id="rId3">
        <w:r>
          <w:rPr>
            <w:rStyle w:val="Style3"/>
            <w:rFonts w:eastAsia="Google Sans" w:cs="Google Sans" w:ascii="Google Sans" w:hAnsi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eastAsia="Google Sans" w:cs="Google Sans" w:ascii="Google Sans" w:hAnsi="Google Sans"/>
          <w:sz w:val="24"/>
          <w:szCs w:val="24"/>
        </w:rPr>
        <w:t xml:space="preserve">. For more details about each compliance regulation, review the </w:t>
      </w:r>
      <w:hyperlink r:id="rId4">
        <w:r>
          <w:rPr>
            <w:rStyle w:val="Style3"/>
            <w:rFonts w:eastAsia="Google Sans" w:cs="Google Sans" w:ascii="Google Sans" w:hAnsi="Google Sans"/>
            <w:color w:val="1155CC"/>
            <w:sz w:val="24"/>
            <w:szCs w:val="24"/>
            <w:u w:val="single"/>
          </w:rPr>
          <w:t>controls, frameworks, and compliance</w:t>
        </w:r>
      </w:hyperlink>
      <w:r>
        <w:rPr>
          <w:rFonts w:eastAsia="Google Sans" w:cs="Google Sans" w:ascii="Google Sans" w:hAnsi="Google Sans"/>
          <w:sz w:val="24"/>
          <w:szCs w:val="24"/>
        </w:rPr>
        <w:t xml:space="preserve"> reading.</w:t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rPr>
          <w:rFonts w:ascii="Google Sans" w:hAnsi="Google Sans" w:eastAsia="Google Sans" w:cs="Google Sans"/>
          <w:i/>
          <w:i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 xml:space="preserve">Then, select “yes” or “no” to answer the question: </w:t>
      </w:r>
      <w:r>
        <w:rPr>
          <w:rFonts w:eastAsia="Google Sans" w:cs="Google Sans" w:ascii="Google Sans" w:hAnsi="Google Sans"/>
          <w:i/>
          <w:sz w:val="24"/>
          <w:szCs w:val="24"/>
        </w:rPr>
        <w:t>Does Botium Toys currently adhere to this compliance best practice?</w:t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b/>
          <w:sz w:val="24"/>
          <w:szCs w:val="24"/>
        </w:rPr>
        <w:t>Compliance checklist</w:t>
      </w:r>
    </w:p>
    <w:p>
      <w:pPr>
        <w:pStyle w:val="normal1"/>
        <w:rPr>
          <w:rFonts w:ascii="Google Sans" w:hAnsi="Google Sans" w:eastAsia="Google Sans" w:cs="Google Sans"/>
          <w:b/>
          <w:sz w:val="24"/>
          <w:szCs w:val="24"/>
        </w:rPr>
      </w:pPr>
      <w:r>
        <w:rPr>
          <w:rFonts w:eastAsia="Google Sans" w:cs="Google Sans" w:ascii="Google Sans" w:hAnsi="Google Sans"/>
          <w:b/>
          <w:sz w:val="24"/>
          <w:szCs w:val="24"/>
        </w:rPr>
      </w:r>
    </w:p>
    <w:p>
      <w:pPr>
        <w:pStyle w:val="normal1"/>
        <w:spacing w:lineRule="auto" w:line="360" w:before="0" w:after="200"/>
        <w:rPr>
          <w:rFonts w:ascii="Google Sans" w:hAnsi="Google Sans" w:eastAsia="Google Sans" w:cs="Google Sans"/>
          <w:sz w:val="24"/>
          <w:szCs w:val="24"/>
          <w:u w:val="single"/>
        </w:rPr>
      </w:pPr>
      <w:r>
        <w:rPr>
          <w:rFonts w:eastAsia="Google Sans" w:cs="Google Sans" w:ascii="Google Sans" w:hAnsi="Google Sans"/>
          <w:sz w:val="24"/>
          <w:szCs w:val="24"/>
          <w:u w:val="single"/>
        </w:rPr>
        <w:t>Payment Card Industry Data Security Standard (PCI DSS)</w:t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0"/>
        <w:gridCol w:w="914"/>
        <w:gridCol w:w="7516"/>
      </w:tblGrid>
      <w:tr>
        <w:trPr/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Yes</w:t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 xml:space="preserve">    </w:t>
            </w: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No</w:t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Best practice</w:t>
            </w:r>
          </w:p>
        </w:tc>
      </w:tr>
      <w:tr>
        <w:trPr/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2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5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 xml:space="preserve">Only authorized users have access to customers’ credit card information. </w:t>
            </w:r>
          </w:p>
        </w:tc>
      </w:tr>
      <w:tr>
        <w:trPr/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Credit card information is stored, accepted, processed, and transmitted internally, in a secure environment.</w:t>
            </w:r>
          </w:p>
        </w:tc>
      </w:tr>
      <w:tr>
        <w:trPr/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0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  <w:highlight w:val="yellow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Implement data encryption procedures to better secure credit card transaction touchpoints and data.</w:t>
            </w:r>
            <w:r>
              <w:rPr>
                <w:rFonts w:eastAsia="Google Sans" w:cs="Google Sans" w:ascii="Google Sans" w:hAnsi="Google Sans"/>
                <w:sz w:val="24"/>
                <w:szCs w:val="24"/>
                <w:highlight w:val="yellow"/>
              </w:rPr>
              <w:t xml:space="preserve"> </w:t>
            </w:r>
          </w:p>
        </w:tc>
      </w:tr>
      <w:tr>
        <w:trPr/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7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Adopt secure password management policies.</w:t>
            </w:r>
          </w:p>
        </w:tc>
      </w:tr>
    </w:tbl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spacing w:lineRule="auto" w:line="360" w:before="0" w:after="200"/>
        <w:rPr>
          <w:rFonts w:ascii="Google Sans" w:hAnsi="Google Sans" w:eastAsia="Google Sans" w:cs="Google Sans"/>
          <w:sz w:val="24"/>
          <w:szCs w:val="24"/>
          <w:u w:val="single"/>
        </w:rPr>
      </w:pPr>
      <w:r>
        <w:rPr>
          <w:rFonts w:eastAsia="Google Sans" w:cs="Google Sans" w:ascii="Google Sans" w:hAnsi="Google Sans"/>
          <w:sz w:val="24"/>
          <w:szCs w:val="24"/>
          <w:u w:val="single"/>
        </w:rPr>
        <w:t>General Data Protection Regulation (GDPR)</w:t>
      </w:r>
    </w:p>
    <w:tbl>
      <w:tblPr>
        <w:tblStyle w:val="Table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0"/>
        <w:gridCol w:w="944"/>
        <w:gridCol w:w="7516"/>
      </w:tblGrid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Yes</w:t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 xml:space="preserve">    </w:t>
            </w: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No</w:t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Best practice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2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5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E.U. customers’ data is kept private/secured.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20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There is a plan in place to notify E.U. customers within 72 hours if their data is compromised/there is a breach.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0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Ensure data is properly classified and inventoried.</w:t>
            </w:r>
          </w:p>
        </w:tc>
      </w:tr>
      <w:tr>
        <w:trPr>
          <w:trHeight w:val="473" w:hRule="atLeast"/>
        </w:trPr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6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Enforce privacy policies, procedures, and processes to properly document and maintain data.</w:t>
            </w:r>
          </w:p>
        </w:tc>
      </w:tr>
    </w:tbl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spacing w:lineRule="auto" w:line="360" w:before="0" w:after="20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  <w:u w:val="single"/>
        </w:rPr>
        <w:t>System and Organizations Controls (SOC type 1, SOC type 2)</w:t>
      </w:r>
      <w:r>
        <w:rPr>
          <w:rFonts w:eastAsia="Google Sans" w:cs="Google Sans" w:ascii="Google Sans" w:hAnsi="Google Sans"/>
          <w:sz w:val="24"/>
          <w:szCs w:val="24"/>
        </w:rPr>
        <w:t xml:space="preserve"> </w:t>
      </w:r>
    </w:p>
    <w:tbl>
      <w:tblPr>
        <w:tblStyle w:val="Table4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0"/>
        <w:gridCol w:w="914"/>
        <w:gridCol w:w="7516"/>
      </w:tblGrid>
      <w:tr>
        <w:trPr/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Yes</w:t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 xml:space="preserve">    </w:t>
            </w: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No</w:t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Best practice</w:t>
            </w:r>
          </w:p>
        </w:tc>
      </w:tr>
      <w:tr>
        <w:trPr/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2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5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User access policies are established.</w:t>
            </w:r>
          </w:p>
        </w:tc>
      </w:tr>
      <w:tr>
        <w:trPr/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Sensitive data (PII/SPII) is confidential/private.</w:t>
            </w:r>
          </w:p>
        </w:tc>
      </w:tr>
      <w:tr>
        <w:trPr/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6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Data integrity ensures the data is consistent, complete, accurate, and has been validated.</w:t>
            </w:r>
          </w:p>
        </w:tc>
      </w:tr>
      <w:tr>
        <w:trPr/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7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Data is available to individuals authorized to access it.</w:t>
            </w:r>
          </w:p>
        </w:tc>
      </w:tr>
    </w:tbl>
    <w:p>
      <w:pPr>
        <w:pStyle w:val="normal1"/>
        <w:spacing w:lineRule="auto" w:line="360" w:before="0" w:after="20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spacing w:lineRule="auto" w:line="360" w:before="0" w:after="200"/>
        <w:rPr>
          <w:rFonts w:ascii="Google Sans" w:hAnsi="Google Sans" w:eastAsia="Google Sans" w:cs="Google Sans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12700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360" w:before="0" w:after="20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 xml:space="preserve">This section is </w:t>
      </w:r>
      <w:r>
        <w:rPr>
          <w:rFonts w:eastAsia="Google Sans" w:cs="Google Sans" w:ascii="Google Sans" w:hAnsi="Google Sans"/>
          <w:i/>
          <w:sz w:val="24"/>
          <w:szCs w:val="24"/>
        </w:rPr>
        <w:t>optional</w:t>
      </w:r>
      <w:r>
        <w:rPr>
          <w:rFonts w:eastAsia="Google Sans" w:cs="Google Sans" w:ascii="Google Sans" w:hAnsi="Google Sans"/>
          <w:sz w:val="24"/>
          <w:szCs w:val="24"/>
        </w:rPr>
        <w:t xml:space="preserve"> and can be used to provide a summary of recommendations to the IT manager regarding which controls and/or compliance best practices Botium Toys needs to implement, based on the risk posed if not implemented in a timely manner.</w:t>
      </w:r>
    </w:p>
    <w:p>
      <w:pPr>
        <w:pStyle w:val="normal1"/>
        <w:spacing w:lineRule="auto" w:line="360" w:before="0" w:after="200"/>
        <w:rPr/>
      </w:pPr>
      <w:r>
        <w:rPr>
          <w:rFonts w:eastAsia="Google Sans" w:cs="Google Sans" w:ascii="Google Sans" w:hAnsi="Google Sans"/>
          <w:b/>
          <w:sz w:val="24"/>
          <w:szCs w:val="24"/>
        </w:rPr>
        <w:t xml:space="preserve">Recommendations (optional): </w:t>
      </w:r>
      <w:r>
        <w:rPr>
          <w:rFonts w:eastAsia="Google Sans" w:cs="Google Sans" w:ascii="Google Sans" w:hAnsi="Google Sans"/>
          <w:sz w:val="24"/>
          <w:szCs w:val="24"/>
        </w:rPr>
        <w:t>In this section, provide recommendations, related to controls and/or compliance needs, that your IT manager could communicate to stakeholders to reduce risks to assets and improve Botium Toys’ security posture.</w:t>
      </w:r>
    </w:p>
    <w:p>
      <w:pPr>
        <w:pStyle w:val="Normal"/>
        <w:spacing w:before="0" w:after="283"/>
        <w:rPr/>
      </w:pPr>
      <w:r>
        <w:rPr>
          <w:rStyle w:val="Strong"/>
        </w:rPr>
        <w:t>Critical Controls to Implement Immediately</w:t>
      </w:r>
      <w:r>
        <w:rPr/>
        <w:t xml:space="preserve">: 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Encryption</w:t>
      </w:r>
      <w:r>
        <w:rPr/>
        <w:t xml:space="preserve">: Implement encryption for credit card data and personally identifiable information (PII/SPII) to comply with PCI DSS and GDPR requirements. </w:t>
      </w:r>
      <w:r>
        <w:rPr>
          <w:rStyle w:val="Strong"/>
        </w:rPr>
        <w:t>Risk</w:t>
      </w:r>
      <w:r>
        <w:rPr/>
        <w:t xml:space="preserve">: High likelihood of regulatory fines and data exposure due to unencrypted sensitive data. 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Least Privilege and Separation of Duties</w:t>
      </w:r>
      <w:r>
        <w:rPr/>
        <w:t xml:space="preserve">: Restrict access to sensitive data to only authorized personnel and enforce separation of duties for critical tasks. </w:t>
      </w:r>
      <w:r>
        <w:rPr>
          <w:rStyle w:val="Strong"/>
        </w:rPr>
        <w:t>Risk</w:t>
      </w:r>
      <w:r>
        <w:rPr/>
        <w:t xml:space="preserve">: Insider threats or accidental breaches from unrestricted employee access. 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Backups and Disaster Recovery Plans</w:t>
      </w:r>
      <w:r>
        <w:rPr/>
        <w:t xml:space="preserve">: Establish regular, secure backups (stored off-site) and develop a tested disaster recovery plan. </w:t>
      </w:r>
      <w:r>
        <w:rPr>
          <w:rStyle w:val="Strong"/>
        </w:rPr>
        <w:t>Risk</w:t>
      </w:r>
      <w:r>
        <w:rPr/>
        <w:t>: Complete data loss and business interruption in the event of a cyber incident or physical disaster.</w:t>
      </w:r>
    </w:p>
    <w:p>
      <w:pPr>
        <w:pStyle w:val="Normal"/>
        <w:spacing w:before="0" w:after="283"/>
        <w:rPr/>
      </w:pPr>
      <w:r>
        <w:rPr>
          <w:rStyle w:val="Strong"/>
        </w:rPr>
        <w:t>Medium-Term Improvements</w:t>
      </w:r>
      <w:r>
        <w:rPr/>
        <w:t xml:space="preserve">: 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Intrusion Detection System (IDS)</w:t>
      </w:r>
      <w:r>
        <w:rPr/>
        <w:t xml:space="preserve">: Install an IDS (e.g., Snort or Suricata) to proactively detect anomalous network activity. </w:t>
      </w:r>
      <w:r>
        <w:rPr>
          <w:rStyle w:val="Strong"/>
        </w:rPr>
        <w:t>Risk</w:t>
      </w:r>
      <w:r>
        <w:rPr/>
        <w:t xml:space="preserve">: Undetected cyberattacks due to lack of monitoring beyond the firewall. 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Password Management System</w:t>
      </w:r>
      <w:r>
        <w:rPr/>
        <w:t xml:space="preserve">: Deploy a centralized password management solution enforcing strong password policies (minimum 12 characters, including letters, numbers, and special characters). </w:t>
      </w:r>
      <w:r>
        <w:rPr>
          <w:rStyle w:val="Strong"/>
        </w:rPr>
        <w:t>Risk</w:t>
      </w:r>
      <w:r>
        <w:rPr/>
        <w:t xml:space="preserve">: Account compromise due to weak passwords and lack of enforcement. 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Asset Inventory</w:t>
      </w:r>
      <w:r>
        <w:rPr/>
        <w:t xml:space="preserve">: Create a comprehensive inventory of all assets (hardware, software, and data) with classification based on criticality to support GDPR and SOC compliance. </w:t>
      </w:r>
      <w:r>
        <w:rPr>
          <w:rStyle w:val="Strong"/>
        </w:rPr>
        <w:t>Risk</w:t>
      </w:r>
      <w:r>
        <w:rPr/>
        <w:t>: Inefficient resource management and inability to prioritize protection efforts.</w:t>
      </w:r>
    </w:p>
    <w:p>
      <w:pPr>
        <w:pStyle w:val="Normal"/>
        <w:spacing w:before="0" w:after="283"/>
        <w:rPr/>
      </w:pPr>
      <w:r>
        <w:rPr>
          <w:rStyle w:val="Strong"/>
        </w:rPr>
        <w:t>Priority Compliance Actions</w:t>
      </w:r>
      <w:r>
        <w:rPr/>
        <w:t xml:space="preserve">: 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PCI DSS</w:t>
      </w:r>
      <w:r>
        <w:rPr/>
        <w:t xml:space="preserve">: Address the lack of encryption and unrestricted access to cardholder data to avoid significant fines and reputational damage. Ensure all credit card transaction touchpoints are secured. 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GDPR</w:t>
      </w:r>
      <w:r>
        <w:rPr/>
        <w:t xml:space="preserve">: Enhance data privacy for E.U. customers by implementing encryption and access controls, while maintaining the existing 72-hour breach notification plan. 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SOC (Type 1 &amp; 2)</w:t>
      </w:r>
      <w:r>
        <w:rPr/>
        <w:t>: Establish user access policies and ensure confidentiality of PII/SPII to align with SOC standards, building on existing data integrity controls.</w:t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oogle Sans">
    <w:charset w:val="01"/>
    <w:family w:val="auto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2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document/d/1btezuy_bMKWoK8pd97ZuzdWB9y6au_zfkrpkfVf8ktI/template/preview" TargetMode="External"/><Relationship Id="rId3" Type="http://schemas.openxmlformats.org/officeDocument/2006/relationships/hyperlink" Target="https://docs.google.com/document/d/1s2u_RuhRAI40JSh-eZHvaFsV1ZMxcNSWXifHDTOsgFc/template/preview" TargetMode="External"/><Relationship Id="rId4" Type="http://schemas.openxmlformats.org/officeDocument/2006/relationships/hyperlink" Target="https://www.coursera.org/learn/foundations-of-cybersecurity/supplement/xu4pr/controls-frameworks-and-compliance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LibreOffice/24.8.5.2$Linux_X86_64 LibreOffice_project/480$Build-2</Application>
  <AppVersion>15.0000</AppVersion>
  <Pages>4</Pages>
  <Words>733</Words>
  <Characters>4225</Characters>
  <CharactersWithSpaces>4866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2025-03-22T16:27:05Z</dcterms:modified>
  <cp:revision>1</cp:revision>
  <dc:subject/>
  <dc:title/>
</cp:coreProperties>
</file>