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 Models</w:t>
      </w:r>
    </w:p>
    <w:p>
      <w:r>
        <w:t>Vikat deploys as SaaS, in-VPC, or fully self-hosted for air-gapped environments.</w:t>
      </w:r>
    </w:p>
    <w:p>
      <w:r>
        <w:t>Self-hosted requires Kubernetes 1.27 or later.</w:t>
      </w:r>
    </w:p>
    <w:p>
      <w:pPr>
        <w:pStyle w:val="Heading1"/>
      </w:pPr>
      <w:r>
        <w:t>Engagement Models</w:t>
      </w:r>
    </w:p>
    <w:p>
      <w:r>
        <w:t>Standard pilot is six weeks, scoped to one solution area.</w:t>
      </w:r>
    </w:p>
    <w:p>
      <w:pPr>
        <w:pStyle w:val="Heading2"/>
      </w:pPr>
      <w:r>
        <w:t>Ampersands &amp; entities</w:t>
      </w:r>
    </w:p>
    <w:p>
      <w:r>
        <w:t>Text with &lt;angle brackets&gt; and &amp; ampersands should survive.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