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D35C" w14:textId="77777777" w:rsidR="005340D8" w:rsidRDefault="00226A79">
      <w:pPr>
        <w:keepNext/>
        <w:spacing w:after="0" w:line="259" w:lineRule="auto"/>
        <w:ind w:left="130"/>
        <w:jc w:val="center"/>
      </w:pPr>
      <w:r>
        <w:rPr>
          <w:rFonts w:ascii="Times New Roman" w:hAnsi="Times New Roman"/>
          <w:b w:val="0"/>
          <w:sz w:val="40"/>
        </w:rPr>
        <w:t xml:space="preserve">A Secure Hybrid Sandbox for Ransomware Behaviour Analysis Using Active </w:t>
      </w:r>
    </w:p>
    <w:p w14:paraId="711C2B64" w14:textId="77777777" w:rsidR="005340D8" w:rsidRDefault="00226A79">
      <w:pPr>
        <w:keepNext/>
        <w:spacing w:after="0" w:line="259" w:lineRule="auto"/>
        <w:ind w:left="-5"/>
        <w:jc w:val="center"/>
      </w:pPr>
      <w:r>
        <w:rPr>
          <w:rFonts w:ascii="Times New Roman" w:hAnsi="Times New Roman"/>
          <w:b w:val="0"/>
          <w:sz w:val="40"/>
        </w:rPr>
        <w:t>Vulnerability Simulation and Generative AI-Assisted Telemetry Interpretation</w:t>
      </w:r>
    </w:p>
    <w:p w14:paraId="60B98A49" w14:textId="6420633D" w:rsidR="005340D8" w:rsidRDefault="006052FB" w:rsidP="006052FB">
      <w:pPr>
        <w:keepNext/>
        <w:spacing w:after="0" w:line="259" w:lineRule="auto"/>
        <w:ind w:left="5" w:firstLine="0"/>
        <w:jc w:val="center"/>
      </w:pPr>
      <w:r>
        <w:rPr>
          <w:rFonts w:ascii="Times New Roman" w:hAnsi="Times New Roman"/>
          <w:sz w:val="22"/>
        </w:rPr>
        <w:t xml:space="preserve">                            </w:t>
      </w:r>
      <w:r w:rsidR="00226A79">
        <w:rPr>
          <w:rFonts w:ascii="Times New Roman" w:hAnsi="Times New Roman"/>
          <w:sz w:val="22"/>
        </w:rPr>
        <w:t xml:space="preserve">Mr. Raju Mahadeo Kolhe                             </w:t>
      </w:r>
      <w:r>
        <w:rPr>
          <w:rFonts w:ascii="Times New Roman" w:hAnsi="Times New Roman"/>
          <w:sz w:val="22"/>
        </w:rPr>
        <w:t xml:space="preserve">                              </w:t>
      </w:r>
      <w:r w:rsidR="00226A79">
        <w:rPr>
          <w:rFonts w:ascii="Times New Roman" w:hAnsi="Times New Roman"/>
          <w:sz w:val="22"/>
        </w:rPr>
        <w:t xml:space="preserve"> </w:t>
      </w:r>
      <w:r w:rsidR="00A403D6">
        <w:rPr>
          <w:rFonts w:ascii="Times New Roman" w:hAnsi="Times New Roman"/>
          <w:sz w:val="22"/>
        </w:rPr>
        <w:t xml:space="preserve">             </w:t>
      </w:r>
      <w:r w:rsidR="00226A79">
        <w:rPr>
          <w:rFonts w:ascii="Times New Roman" w:hAnsi="Times New Roman"/>
          <w:sz w:val="22"/>
        </w:rPr>
        <w:t>Dr. Rama Gaikwad</w:t>
      </w:r>
    </w:p>
    <w:p w14:paraId="60D0EE7C" w14:textId="53B5A973" w:rsidR="005340D8" w:rsidRDefault="006052FB" w:rsidP="006052FB">
      <w:pPr>
        <w:keepNext/>
        <w:spacing w:after="0" w:line="259" w:lineRule="auto"/>
        <w:ind w:left="0" w:right="13" w:firstLine="0"/>
        <w:jc w:val="center"/>
      </w:pPr>
      <w:r>
        <w:rPr>
          <w:rFonts w:ascii="Times New Roman" w:hAnsi="Times New Roman"/>
          <w:i/>
          <w:sz w:val="20"/>
        </w:rPr>
        <w:t xml:space="preserve">       </w:t>
      </w:r>
      <w:r w:rsidR="008B4741">
        <w:rPr>
          <w:rFonts w:ascii="Times New Roman" w:hAnsi="Times New Roman"/>
          <w:i/>
          <w:sz w:val="20"/>
        </w:rPr>
        <w:t xml:space="preserve">           </w:t>
      </w:r>
      <w:r w:rsidR="00226A79">
        <w:rPr>
          <w:rFonts w:ascii="Times New Roman" w:hAnsi="Times New Roman"/>
          <w:i/>
          <w:sz w:val="20"/>
        </w:rPr>
        <w:t>Anantrao Pawar College of Engineering &amp; Research,</w:t>
      </w:r>
      <w:r w:rsidR="008B4741">
        <w:rPr>
          <w:rFonts w:ascii="Times New Roman" w:hAnsi="Times New Roman"/>
          <w:i/>
          <w:sz w:val="20"/>
        </w:rPr>
        <w:t xml:space="preserve"> </w:t>
      </w:r>
      <w:r w:rsidR="001C796C">
        <w:rPr>
          <w:rFonts w:ascii="Times New Roman" w:hAnsi="Times New Roman"/>
          <w:i/>
          <w:sz w:val="20"/>
        </w:rPr>
        <w:t xml:space="preserve">Savitribai Phule </w:t>
      </w:r>
      <w:r>
        <w:rPr>
          <w:rFonts w:ascii="Times New Roman" w:hAnsi="Times New Roman"/>
          <w:i/>
          <w:sz w:val="20"/>
        </w:rPr>
        <w:t>Pune University,</w:t>
      </w:r>
      <w:r w:rsidR="008B4741">
        <w:rPr>
          <w:rFonts w:ascii="Times New Roman" w:hAnsi="Times New Roman"/>
          <w:i/>
          <w:sz w:val="20"/>
        </w:rPr>
        <w:t xml:space="preserve"> </w:t>
      </w:r>
      <w:r>
        <w:rPr>
          <w:rFonts w:ascii="Times New Roman" w:hAnsi="Times New Roman"/>
          <w:i/>
          <w:sz w:val="20"/>
        </w:rPr>
        <w:t>Pune, Maharashtra, India.</w:t>
      </w:r>
    </w:p>
    <w:p w14:paraId="4A59EEC7" w14:textId="3985E0B6" w:rsidR="005340D8" w:rsidRDefault="006052FB" w:rsidP="006052FB">
      <w:pPr>
        <w:keepNext/>
        <w:spacing w:after="0" w:line="259" w:lineRule="auto"/>
        <w:jc w:val="center"/>
      </w:pPr>
      <w:r>
        <w:rPr>
          <w:rFonts w:ascii="Times New Roman" w:hAnsi="Times New Roman"/>
          <w:sz w:val="20"/>
        </w:rPr>
        <w:t xml:space="preserve">                                  </w:t>
      </w:r>
      <w:r w:rsidR="00256B5A">
        <w:rPr>
          <w:rFonts w:ascii="Times New Roman" w:hAnsi="Times New Roman"/>
          <w:sz w:val="20"/>
        </w:rPr>
        <w:t>k</w:t>
      </w:r>
      <w:r w:rsidR="00226A79">
        <w:rPr>
          <w:rFonts w:ascii="Times New Roman" w:hAnsi="Times New Roman"/>
          <w:sz w:val="20"/>
        </w:rPr>
        <w:t xml:space="preserve">olhe.raj@gmail.com       </w:t>
      </w:r>
      <w:r>
        <w:rPr>
          <w:rFonts w:ascii="Times New Roman" w:hAnsi="Times New Roman"/>
          <w:sz w:val="20"/>
        </w:rPr>
        <w:t xml:space="preserve">                                                             </w:t>
      </w:r>
      <w:r w:rsidR="00226A79">
        <w:rPr>
          <w:rFonts w:ascii="Times New Roman" w:hAnsi="Times New Roman"/>
          <w:sz w:val="20"/>
        </w:rPr>
        <w:t xml:space="preserve"> rama.gaikwad@abmspcoerpune.org</w:t>
      </w:r>
    </w:p>
    <w:p w14:paraId="772A1910" w14:textId="77777777" w:rsidR="005340D8" w:rsidRDefault="005340D8">
      <w:pPr>
        <w:sectPr w:rsidR="005340D8" w:rsidSect="007959C2">
          <w:headerReference w:type="default" r:id="rId9"/>
          <w:type w:val="continuous"/>
          <w:pgSz w:w="12240" w:h="15840" w:code="9"/>
          <w:pgMar w:top="1008" w:right="936" w:bottom="1008" w:left="936" w:header="432" w:footer="432" w:gutter="0"/>
          <w:cols w:space="288" w:num="1"/>
          <w:docGrid w:linePitch="272"/>
        </w:sectPr>
      </w:pPr>
    </w:p>
    <w:p w14:paraId="251073AC" w14:textId="77777777" w:rsidR="005340D8" w:rsidRDefault="00226A79">
      <w:pPr>
        <w:spacing w:after="80" w:line="246" w:lineRule="auto"/>
        <w:ind w:left="0" w:right="71" w:firstLine="0"/>
        <w:jc w:val="both"/>
      </w:pPr>
      <w:r>
        <w:rPr>
          <w:rFonts w:ascii="Times New Roman" w:hAnsi="Times New Roman"/>
          <w:b/>
          <w:i w:val="0"/>
          <w:sz w:val="18"/>
        </w:rPr>
        <w:t xml:space="preserve">Abstract— </w:t>
      </w:r>
      <w:r>
        <w:rPr>
          <w:rFonts w:ascii="Times New Roman" w:hAnsi="Times New Roman"/>
          <w:b w:val="0"/>
          <w:i w:val="0"/>
          <w:sz w:val="18"/>
        </w:rPr>
        <w:t>Environment-aware ransomware can change its execution in response to virtualisation artefacts, analysis utilities and network conditions. Conventional dynamic sandboxes may therefore reveal only part of an attack sequence, while telemetry generated inside a compromised guest can be exposed to manipulation. This paper presents a secure hybrid ransomware behaviour-analysis sandbox combining controlled vulnerability simulation, packet-level network observation, deterministic behavioural scoring, authenticated telemetry, and a bounded generative artificial intelligence (GenAI) interpretation layer built on a local large language model (Qwen2 0.5B). The GenAI service consumes structured behavioural events rather than executable malware and uses retrieval-augmented generation (RAG) to obtain controlled cybersecurity knowledge, including MITRE ATT&amp;CK technique descriptions and validated laboratory evidence. The architecture separates evidence collection and security decisions from language-model interpretation, and includes a fully implemented, hypervisor-based sandbox orchestrator intended for end-to-end evaluation in future work. This study reports an empirical evaluation of the GenAI analysis engine in isolation from the orchestrator, using a controlled synthetic dataset of 100 behavioural traces (50 benign, 50 malicious), addressing RQ4 of the protocol defined below. Averaged across n=3 independent trials, the GenAI layer correctly maps 45% (± 3%) of malicious traces to exact MITRE ATT&amp;CK techniques with a zero unsupported-claim rate, and extracts and contextualises 50% (± 8%) of simulated telemetry-tampering (T1562) events that the deterministic baseline cannot parse, at an amortised orchestrator CPU overhead of 0.35% (± 0.08%). Detection precision, recall and F1 are 1.00 for both baseline and proposed configurations, reflecting the unambiguous nature of the synthetic dataset rather than real-world infallibility. Full end-to-end validation against known and unseen ransomware families using the implemented orchestrator (RQ1, RQ2, RQ3, RQ5) is identified as future work. The complete implementation and dataset are available for review at an anonymised repository to support reproducible M.E.-level research.</w:t>
      </w:r>
    </w:p>
    <w:p w14:paraId="033266E1" w14:textId="77777777" w:rsidR="005340D8" w:rsidRDefault="00226A79">
      <w:pPr>
        <w:spacing w:after="80" w:line="246" w:lineRule="auto"/>
        <w:ind w:left="0" w:firstLine="0"/>
        <w:jc w:val="both"/>
      </w:pPr>
      <w:r>
        <w:rPr>
          <w:rFonts w:ascii="Times New Roman" w:hAnsi="Times New Roman"/>
          <w:b/>
          <w:i w:val="0"/>
          <w:sz w:val="18"/>
        </w:rPr>
        <w:t xml:space="preserve">Index Terms— </w:t>
      </w:r>
      <w:r>
        <w:rPr>
          <w:rFonts w:ascii="Times New Roman" w:hAnsi="Times New Roman"/>
          <w:b w:val="0"/>
          <w:i w:val="0"/>
          <w:sz w:val="18"/>
        </w:rPr>
        <w:t>Cybersecurity, ransomware analysis, malware sandbox, generative artificial intelligence, large language models, retrieval-augmented generation, MITRE ATT&amp;CK, intrusion detection, encrypted telemetry, vulnerability simulation.</w:t>
      </w:r>
    </w:p>
    <w:p w14:paraId="3FA16D9A" w14:textId="77777777" w:rsidR="005340D8" w:rsidRDefault="00226A79">
      <w:pPr>
        <w:pStyle w:val="Heading1"/>
        <w:keepNext/>
        <w:spacing w:after="127"/>
      </w:pPr>
      <w:r>
        <w:rPr>
          <w:rFonts w:ascii="Times New Roman" w:hAnsi="Times New Roman"/>
          <w:b/>
          <w:sz w:val="20"/>
        </w:rPr>
        <w:t>I. INTRODUCTION</w:t>
      </w:r>
    </w:p>
    <w:p w14:paraId="2EF678B4" w14:textId="77777777" w:rsidR="005340D8" w:rsidRDefault="00226A79">
      <w:pPr>
        <w:pStyle w:val="Heading2"/>
        <w:keepNext/>
        <w:ind w:left="-5"/>
      </w:pPr>
      <w:r>
        <w:rPr>
          <w:rFonts w:ascii="Times New Roman" w:hAnsi="Times New Roman"/>
          <w:i/>
          <w:sz w:val="18"/>
        </w:rPr>
        <w:t>A. Background</w:t>
      </w:r>
    </w:p>
    <w:p w14:paraId="40814E02" w14:textId="53B6613E" w:rsidR="005340D8" w:rsidRDefault="00226A79">
      <w:pPr>
        <w:ind w:left="-5" w:right="44"/>
        <w:jc w:val="both"/>
      </w:pPr>
      <w:r>
        <w:rPr>
          <w:rFonts w:ascii="Times New Roman" w:hAnsi="Times New Roman"/>
          <w:sz w:val="18"/>
        </w:rPr>
        <w:t>Ransomware has evolved beyond simple file-locking behaviour into multi-stage activity involving reconnaissance, privilege use, lateral movement, service disruption, recovery inhibition and data encryption. Analysis environments must therefore observe more than the final encryption event. They must expose the preceding sequence while maintaining strong isolation from laboratory infrastructure. Environment</w:t>
      </w:r>
      <w:r w:rsidR="006052FB">
        <w:rPr>
          <w:rFonts w:ascii="Times New Roman" w:hAnsi="Times New Roman"/>
          <w:sz w:val="18"/>
        </w:rPr>
        <w:t>-</w:t>
      </w:r>
      <w:r>
        <w:rPr>
          <w:rFonts w:ascii="Times New Roman" w:hAnsi="Times New Roman"/>
          <w:sz w:val="18"/>
        </w:rPr>
        <w:t>aware malware can also alter timing or behaviour after detecting virtual machines, debuggers or monitoring processes, creating a risk that passive detonation underrepresents the actual behavioural chain.</w:t>
      </w:r>
    </w:p>
    <w:p w14:paraId="3B9A7A8B" w14:textId="77777777" w:rsidR="005340D8" w:rsidRDefault="00226A79">
      <w:pPr>
        <w:pStyle w:val="Heading2"/>
        <w:keepNext/>
        <w:ind w:left="-5"/>
      </w:pPr>
      <w:r>
        <w:rPr>
          <w:rFonts w:ascii="Times New Roman" w:hAnsi="Times New Roman"/>
          <w:i/>
          <w:sz w:val="18"/>
        </w:rPr>
        <w:t>B. Problem Context</w:t>
      </w:r>
    </w:p>
    <w:p w14:paraId="305BFBD7" w14:textId="77777777" w:rsidR="005340D8" w:rsidRDefault="00226A79">
      <w:pPr>
        <w:ind w:left="-5" w:right="44"/>
        <w:jc w:val="both"/>
      </w:pPr>
      <w:r>
        <w:rPr>
          <w:rFonts w:ascii="Times New Roman" w:hAnsi="Times New Roman"/>
          <w:sz w:val="18"/>
        </w:rPr>
        <w:t>A conventional sandbox executes a sample inside a controlled guest and collects process, file-system and network artefacts. This can miss behaviours that depend on reachable services or an enterprise-like topology. A second problem concerns evidence integrity. If the guest is compromised, an attacker-controlled process may attempt to modify local logs or interfere with collection. The proposed system consequently treats behavioural coverage and evidence integrity as separate but related research objectives.</w:t>
      </w:r>
    </w:p>
    <w:p w14:paraId="53D93CAC" w14:textId="77777777" w:rsidR="005340D8" w:rsidRDefault="00226A79">
      <w:pPr>
        <w:pStyle w:val="Heading2"/>
        <w:keepNext/>
        <w:ind w:left="-5"/>
      </w:pPr>
      <w:r>
        <w:rPr>
          <w:rFonts w:ascii="Times New Roman" w:hAnsi="Times New Roman"/>
          <w:i/>
          <w:sz w:val="18"/>
        </w:rPr>
        <w:t>C. Motivation</w:t>
      </w:r>
    </w:p>
    <w:p w14:paraId="4FF97CF5" w14:textId="77777777" w:rsidR="005340D8" w:rsidRDefault="00226A79">
      <w:pPr>
        <w:spacing w:after="119"/>
        <w:ind w:left="-5" w:right="44"/>
        <w:jc w:val="both"/>
      </w:pPr>
      <w:r>
        <w:rPr>
          <w:rFonts w:ascii="Times New Roman" w:hAnsi="Times New Roman"/>
          <w:sz w:val="18"/>
        </w:rPr>
        <w:t>Large event streams create an additional analyst burden. Recent cybersecurity research indicates that language models can support log analysis, threat intelligence and other security tasks, while RAG can condition generated responses on explicit external knowledge. However, a language model should not replace deterministic containment or evidence collection. The proposed architecture therefore places GenAI after collection, cryptographic validation and heuristic scoring. Its role is semantic correlation, ATT&amp;CK candidate mapping and analyst-facing explanation.</w:t>
      </w:r>
    </w:p>
    <w:p w14:paraId="313BA11D" w14:textId="2E985F95" w:rsidR="005340D8" w:rsidRDefault="00226A79">
      <w:pPr>
        <w:ind w:left="-5" w:right="44"/>
        <w:jc w:val="both"/>
      </w:pPr>
      <w:r>
        <w:rPr>
          <w:rFonts w:ascii="Times New Roman" w:hAnsi="Times New Roman"/>
          <w:sz w:val="18"/>
        </w:rPr>
        <w:t>A related, persistent challenge in Security Operations Cent</w:t>
      </w:r>
      <w:r w:rsidR="006052FB">
        <w:rPr>
          <w:rFonts w:ascii="Times New Roman" w:hAnsi="Times New Roman"/>
          <w:sz w:val="18"/>
        </w:rPr>
        <w:t>re</w:t>
      </w:r>
      <w:r>
        <w:rPr>
          <w:rFonts w:ascii="Times New Roman" w:hAnsi="Times New Roman"/>
          <w:sz w:val="18"/>
        </w:rPr>
        <w:t xml:space="preserve">s (SOCs) is alert fatigue, driven partly by high false-positive rates. Traditional heuristic systems rely on rigid signature matching, which can conflate benign administrative activity with malicious behaviour — for example, an administrator legitimately executing vssadmin.exe to manage volume shadow copies may be flagged identically to a ransomware precursor (T1490). The proposed GenAI layer is intended to evaluate the context surrounding such commands rather than the command alone. This contextual disambiguation is a core design goal of the framework; its effect on false-positive </w:t>
      </w:r>
      <w:r>
        <w:rPr>
          <w:rFonts w:ascii="Times New Roman" w:hAnsi="Times New Roman"/>
          <w:sz w:val="18"/>
        </w:rPr>
        <w:lastRenderedPageBreak/>
        <w:t>rate in adversarial-benign scenarios has not yet been empirically measured and is identified as future work (Section XI).</w:t>
      </w:r>
    </w:p>
    <w:p w14:paraId="57A0B4C5" w14:textId="77777777" w:rsidR="005340D8" w:rsidRDefault="00226A79">
      <w:pPr>
        <w:pStyle w:val="Heading2"/>
        <w:keepNext/>
        <w:ind w:left="-5"/>
      </w:pPr>
      <w:r>
        <w:rPr>
          <w:rFonts w:ascii="Times New Roman" w:hAnsi="Times New Roman"/>
          <w:i/>
          <w:sz w:val="18"/>
        </w:rPr>
        <w:t>D. Research Problem</w:t>
      </w:r>
    </w:p>
    <w:p w14:paraId="4B43BE3C" w14:textId="77777777" w:rsidR="005340D8" w:rsidRDefault="00226A79">
      <w:pPr>
        <w:ind w:left="-5" w:right="44"/>
        <w:jc w:val="both"/>
      </w:pPr>
      <w:r>
        <w:rPr>
          <w:rFonts w:ascii="Times New Roman" w:hAnsi="Times New Roman"/>
          <w:sz w:val="18"/>
        </w:rPr>
        <w:t>The research problem is to engineer and evaluate an automated ransomware-analysis environment that (</w:t>
      </w:r>
      <w:proofErr w:type="spellStart"/>
      <w:r>
        <w:rPr>
          <w:rFonts w:ascii="Times New Roman" w:hAnsi="Times New Roman"/>
          <w:sz w:val="18"/>
        </w:rPr>
        <w:t>i</w:t>
      </w:r>
      <w:proofErr w:type="spellEnd"/>
      <w:r>
        <w:rPr>
          <w:rFonts w:ascii="Times New Roman" w:hAnsi="Times New Roman"/>
          <w:sz w:val="18"/>
        </w:rPr>
        <w:t>) increases behavioural exposure through controlled active simulation, (ii) preserves telemetry integrity against a compromised guest, and (iii) uses GenAI/RAG to produce evidence-grounded explanations without granting the model execution or control privileges.</w:t>
      </w:r>
    </w:p>
    <w:p w14:paraId="00E5E761" w14:textId="77777777" w:rsidR="005340D8" w:rsidRDefault="00226A79">
      <w:pPr>
        <w:pStyle w:val="Heading2"/>
        <w:keepNext/>
        <w:ind w:left="-5"/>
      </w:pPr>
      <w:r>
        <w:rPr>
          <w:rFonts w:ascii="Times New Roman" w:hAnsi="Times New Roman"/>
          <w:i/>
          <w:sz w:val="18"/>
        </w:rPr>
        <w:t>E. Research Questions</w:t>
      </w:r>
    </w:p>
    <w:p w14:paraId="0EEA3714" w14:textId="77777777" w:rsidR="005340D8" w:rsidRDefault="00226A79">
      <w:pPr>
        <w:spacing w:after="119"/>
        <w:ind w:left="-5" w:right="44"/>
        <w:jc w:val="both"/>
      </w:pPr>
      <w:r>
        <w:rPr>
          <w:rFonts w:ascii="Times New Roman" w:hAnsi="Times New Roman"/>
          <w:sz w:val="18"/>
        </w:rPr>
        <w:t>RQ1: Does active vulnerability simulation expose behavioural evidence absent from passive execution? RQ2: Can authenticated encrypted telemetry reduce successful manipulation of forensic evidence? RQ3: What CPU, memory, network and latency overhead is introduced by continuous capture and protected telemetry? RQ4: Does GenAI-assisted semantic correlation improve interpretation compared with deterministic heuristics alone? RQ5: Can the interpretation pipeline generalise to ransomware families not represented during rule development while maintaining evidence-grounded explanations?</w:t>
      </w:r>
    </w:p>
    <w:p w14:paraId="4A4FAEA4" w14:textId="2036FC44" w:rsidR="005340D8" w:rsidRDefault="00226A79">
      <w:pPr>
        <w:spacing w:after="152" w:line="266" w:lineRule="auto"/>
        <w:ind w:left="-5" w:right="4"/>
        <w:jc w:val="both"/>
      </w:pPr>
      <w:r>
        <w:rPr>
          <w:rFonts w:ascii="Times New Roman" w:hAnsi="Times New Roman"/>
          <w:i/>
          <w:sz w:val="18"/>
        </w:rPr>
        <w:t>Scope note: this manuscript version reports empirical results for RQ4 only (Section VIII). RQ1, RQ2, RQ3</w:t>
      </w:r>
      <w:r w:rsidR="006052FB">
        <w:rPr>
          <w:rFonts w:ascii="Times New Roman" w:hAnsi="Times New Roman"/>
          <w:i/>
          <w:sz w:val="18"/>
        </w:rPr>
        <w:t>,</w:t>
      </w:r>
      <w:r>
        <w:rPr>
          <w:rFonts w:ascii="Times New Roman" w:hAnsi="Times New Roman"/>
          <w:i/>
          <w:sz w:val="18"/>
        </w:rPr>
        <w:t xml:space="preserve"> and RQ5 require end-to</w:t>
      </w:r>
      <w:r w:rsidR="006052FB">
        <w:rPr>
          <w:rFonts w:ascii="Times New Roman" w:hAnsi="Times New Roman"/>
          <w:i/>
          <w:sz w:val="18"/>
        </w:rPr>
        <w:t>-</w:t>
      </w:r>
      <w:r>
        <w:rPr>
          <w:rFonts w:ascii="Times New Roman" w:hAnsi="Times New Roman"/>
          <w:i/>
          <w:sz w:val="18"/>
        </w:rPr>
        <w:t>end evaluation via the implemented orchestrator (Section V-F) and remain future work.</w:t>
      </w:r>
    </w:p>
    <w:p w14:paraId="6DEBADA4" w14:textId="77777777" w:rsidR="005340D8" w:rsidRDefault="00226A79">
      <w:pPr>
        <w:pStyle w:val="Heading2"/>
        <w:keepNext/>
        <w:ind w:left="-5"/>
      </w:pPr>
      <w:r>
        <w:rPr>
          <w:rFonts w:ascii="Times New Roman" w:hAnsi="Times New Roman"/>
          <w:i/>
          <w:sz w:val="18"/>
        </w:rPr>
        <w:t>F. Contributions</w:t>
      </w:r>
    </w:p>
    <w:p w14:paraId="05716FDB" w14:textId="77777777" w:rsidR="005340D8" w:rsidRDefault="00226A79">
      <w:pPr>
        <w:spacing w:after="226"/>
        <w:ind w:left="-5" w:right="44"/>
        <w:jc w:val="both"/>
      </w:pPr>
      <w:r>
        <w:rPr>
          <w:rFonts w:ascii="Times New Roman" w:hAnsi="Times New Roman"/>
          <w:sz w:val="18"/>
        </w:rPr>
        <w:t>(1) An active ransomware-analysis sandbox with controlled vulnerable services; (2) an out-of-band telemetry path protected by AES-256-GCM; (3) a deterministic behavioural score independent of the language model; (4) a bounded GenAI/RAG interpretation service with schema validation and evidence links; (5) a reproducible evaluation protocol covering detection, evidence integrity, generalisation, explanation quality and operational overhead; and (6) an openly available reference implementation and synthetic benchmark dataset supporting independent verification of the results in Section VIII.</w:t>
      </w:r>
    </w:p>
    <w:p w14:paraId="6BDCE106" w14:textId="77777777" w:rsidR="005340D8" w:rsidRDefault="00226A79">
      <w:pPr>
        <w:pStyle w:val="Heading1"/>
        <w:keepNext/>
        <w:ind w:right="53"/>
      </w:pPr>
      <w:r>
        <w:rPr>
          <w:rFonts w:ascii="Times New Roman" w:hAnsi="Times New Roman"/>
          <w:b/>
          <w:sz w:val="20"/>
        </w:rPr>
        <w:t>II. BACKGROUND AND THEORETICAL FOUNDATION</w:t>
      </w:r>
    </w:p>
    <w:p w14:paraId="13B1936D" w14:textId="77777777" w:rsidR="005340D8" w:rsidRDefault="00226A79">
      <w:pPr>
        <w:pStyle w:val="Heading2"/>
        <w:keepNext/>
        <w:ind w:left="-5"/>
      </w:pPr>
      <w:r>
        <w:rPr>
          <w:rFonts w:ascii="Times New Roman" w:hAnsi="Times New Roman"/>
          <w:i/>
          <w:sz w:val="18"/>
        </w:rPr>
        <w:t>A. Ransomware Behaviour Analysis</w:t>
      </w:r>
    </w:p>
    <w:p w14:paraId="1E7173F9" w14:textId="77777777" w:rsidR="005340D8" w:rsidRDefault="00226A79">
      <w:pPr>
        <w:ind w:left="-5" w:right="44"/>
        <w:jc w:val="both"/>
      </w:pPr>
      <w:r>
        <w:rPr>
          <w:rFonts w:ascii="Times New Roman" w:hAnsi="Times New Roman"/>
          <w:sz w:val="18"/>
        </w:rPr>
        <w:t>Dynamic analysis observes program behaviour during execution. For ransomware, useful evidence includes process creation, file-system changes, cryptographic API activity, recovery-service manipulation, network connections and attempts to reach other systems. The proposed environment treats these observations as a time-ordered event stream rather than isolated indicators.</w:t>
      </w:r>
    </w:p>
    <w:p w14:paraId="017AD3DA" w14:textId="77777777" w:rsidR="005340D8" w:rsidRDefault="00226A79">
      <w:pPr>
        <w:pStyle w:val="Heading2"/>
        <w:keepNext/>
        <w:ind w:left="-5"/>
      </w:pPr>
      <w:r>
        <w:rPr>
          <w:rFonts w:ascii="Times New Roman" w:hAnsi="Times New Roman"/>
          <w:i/>
          <w:sz w:val="18"/>
        </w:rPr>
        <w:t>B. MITRE ATT&amp;CK as Controlled Vocabulary</w:t>
      </w:r>
    </w:p>
    <w:p w14:paraId="601E151B" w14:textId="77777777" w:rsidR="005340D8" w:rsidRDefault="00226A79">
      <w:pPr>
        <w:ind w:left="-5" w:right="44"/>
        <w:jc w:val="both"/>
      </w:pPr>
      <w:r>
        <w:rPr>
          <w:rFonts w:ascii="Times New Roman" w:hAnsi="Times New Roman"/>
          <w:sz w:val="18"/>
        </w:rPr>
        <w:t>MITRE ATT&amp;CK provides technique-level descriptions that can act as a controlled vocabulary for interpretation. Data Encrypted for Impact (T1486) represents encryption used to interrupt availability, while Inhibit System Recovery (T1490) covers actions that remove or disable recovery mechanisms. The model is instructed to identify candidate techniques from observed evidence and retrieved knowledge rather than inventing technique labels.</w:t>
      </w:r>
    </w:p>
    <w:p w14:paraId="7D1C8E83" w14:textId="77777777" w:rsidR="005340D8" w:rsidRDefault="00226A79">
      <w:pPr>
        <w:pStyle w:val="Heading2"/>
        <w:keepNext/>
        <w:ind w:left="-5"/>
      </w:pPr>
      <w:r>
        <w:rPr>
          <w:rFonts w:ascii="Times New Roman" w:hAnsi="Times New Roman"/>
          <w:i/>
          <w:sz w:val="18"/>
        </w:rPr>
        <w:t>C. GenAI and RAG</w:t>
      </w:r>
    </w:p>
    <w:p w14:paraId="4B943DDC" w14:textId="77777777" w:rsidR="005340D8" w:rsidRDefault="00226A79">
      <w:pPr>
        <w:ind w:left="-5" w:right="44"/>
        <w:jc w:val="both"/>
      </w:pPr>
      <w:r>
        <w:rPr>
          <w:rFonts w:ascii="Times New Roman" w:hAnsi="Times New Roman"/>
          <w:sz w:val="18"/>
        </w:rPr>
        <w:t>Language models can help convert heterogeneous security events into concise narratives, but generated statements may be unsupported. RAG reduces this risk by retrieving approved knowledge before generation. In this study, the retrieval corpus is constrained to ATT&amp;CK descriptions, verified research notes and laboratory evidence. Every generated classification or technique claim must point to one or more observations or retrieved references.</w:t>
      </w:r>
    </w:p>
    <w:p w14:paraId="11160DF2" w14:textId="77777777" w:rsidR="005340D8" w:rsidRDefault="00226A79">
      <w:pPr>
        <w:pStyle w:val="Heading2"/>
        <w:keepNext/>
        <w:ind w:left="-5"/>
      </w:pPr>
      <w:r>
        <w:rPr>
          <w:rFonts w:ascii="Times New Roman" w:hAnsi="Times New Roman"/>
          <w:i/>
          <w:sz w:val="18"/>
        </w:rPr>
        <w:t>D. Research Positioning</w:t>
      </w:r>
    </w:p>
    <w:p w14:paraId="1621BB68" w14:textId="77777777" w:rsidR="005340D8" w:rsidRDefault="00226A79">
      <w:pPr>
        <w:spacing w:after="226"/>
        <w:ind w:left="-5" w:right="44"/>
        <w:jc w:val="both"/>
      </w:pPr>
      <w:r>
        <w:rPr>
          <w:rFonts w:ascii="Times New Roman" w:hAnsi="Times New Roman"/>
          <w:sz w:val="18"/>
        </w:rPr>
        <w:t>Recent work demonstrates both LLM-based ransomware detection from kernel-level events and RAG-based interpretation of CAPEv2 output. The present work therefore does not claim novelty merely from adding an LLM to a sandbox. Its research position is the integration of active vulnerability simulation, out-of-band protected telemetry, deterministic scoring and bounded GenAI/RAG interpretation, followed by an ablation-oriented evaluation.</w:t>
      </w:r>
    </w:p>
    <w:p w14:paraId="271F4AFE" w14:textId="77777777" w:rsidR="005340D8" w:rsidRDefault="00226A79">
      <w:pPr>
        <w:pStyle w:val="Heading1"/>
        <w:keepNext/>
      </w:pPr>
      <w:r>
        <w:rPr>
          <w:rFonts w:ascii="Times New Roman" w:hAnsi="Times New Roman"/>
          <w:b/>
          <w:sz w:val="20"/>
        </w:rPr>
        <w:t>III. RELATED WORK AND RESEARCH GAP</w:t>
      </w:r>
    </w:p>
    <w:tbl>
      <w:tblPr>
        <w:tblStyle w:val="TableGrid"/>
        <w:tblpPr w:vertAnchor="text" w:horzAnchor="margin" w:tblpY="1276"/>
        <w:tblOverlap w:val="never"/>
        <w:tblW w:w="11200" w:type="dxa"/>
        <w:jc w:val="center"/>
        <w:tblInd w:w="0" w:type="dxa"/>
        <w:tblLayout w:type="autofi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00"/>
      </w:tblGrid>
      <w:tr w:rsidR="005340D8" w14:paraId="021DB83C" w14:textId="77777777">
        <w:trPr>
          <w:trHeight w:val="177"/>
        </w:trPr>
        <w:tc>
          <w:tcPr>
            <w:tcW w:w="3914" w:type="dxa"/>
            <w:tcBorders>
              <w:top w:val="nil"/>
              <w:left w:val="nil"/>
              <w:bottom w:val="nil"/>
              <w:right w:val="nil"/>
            </w:tcBorders>
            <w:vAlign w:val="center"/>
          </w:tcPr>
          <w:p w14:paraId="768CAD50" w14:textId="77777777" w:rsidR="005340D8" w:rsidRDefault="00226A79">
            <w:pPr>
              <w:spacing w:after="0" w:line="259" w:lineRule="auto"/>
              <w:ind w:left="3644" w:firstLine="0"/>
              <w:jc w:val="center"/>
            </w:pPr>
            <w:r>
              <w:rPr>
                <w:rFonts w:ascii="Times New Roman" w:hAnsi="Times New Roman"/>
                <w:b/>
                <w:sz w:val="16"/>
              </w:rPr>
              <w:t>TABLE I — RELATED WORK AND RESEARCH GAP</w:t>
            </w:r>
          </w:p>
          <w:tbl>
            <w:tblPr>
              <w:tblStyle w:val="TableGrid"/>
              <w:tblW w:w="10934" w:type="dxa"/>
              <w:tblInd w:w="0" w:type="dxa"/>
              <w:tblCellMar>
                <w:top w:w="11" w:type="dxa"/>
                <w:left w:w="122" w:type="dxa"/>
                <w:right w:w="79" w:type="dxa"/>
              </w:tblCellMar>
              <w:tblLook w:val="04A0" w:firstRow="1" w:lastRow="0" w:firstColumn="1" w:lastColumn="0" w:noHBand="0" w:noVBand="1"/>
            </w:tblPr>
            <w:tblGrid>
              <w:gridCol w:w="2538"/>
              <w:gridCol w:w="3710"/>
              <w:gridCol w:w="4686"/>
            </w:tblGrid>
            <w:tr w:rsidR="005340D8" w14:paraId="2393429C" w14:textId="77777777" w:rsidTr="006052FB">
              <w:trPr>
                <w:trHeight w:val="195"/>
              </w:trPr>
              <w:tc>
                <w:tcPr>
                  <w:tcW w:w="2538" w:type="dxa"/>
                  <w:tcBorders>
                    <w:top w:val="single" w:sz="4" w:space="0" w:color="000000"/>
                    <w:left w:val="single" w:sz="4" w:space="0" w:color="000000"/>
                    <w:bottom w:val="single" w:sz="4" w:space="0" w:color="000000"/>
                    <w:right w:val="single" w:sz="4" w:space="0" w:color="000000"/>
                  </w:tcBorders>
                  <w:shd w:val="clear" w:color="auto" w:fill="D9D9D9"/>
                </w:tcPr>
                <w:p w14:paraId="0DE1DB5D" w14:textId="77777777" w:rsidR="005340D8" w:rsidRDefault="00226A79" w:rsidP="002B62FF">
                  <w:pPr>
                    <w:framePr w:wrap="around" w:vAnchor="text" w:hAnchor="margin" w:y="1276"/>
                    <w:spacing w:after="0" w:line="259" w:lineRule="auto"/>
                    <w:ind w:left="0" w:right="41" w:firstLine="0"/>
                    <w:suppressOverlap/>
                    <w:jc w:val="center"/>
                  </w:pPr>
                  <w:r>
                    <w:rPr>
                      <w:b/>
                      <w:sz w:val="16"/>
                    </w:rPr>
                    <w:t>Approach</w:t>
                  </w:r>
                </w:p>
              </w:tc>
              <w:tc>
                <w:tcPr>
                  <w:tcW w:w="3710" w:type="dxa"/>
                  <w:tcBorders>
                    <w:top w:val="single" w:sz="4" w:space="0" w:color="000000"/>
                    <w:left w:val="single" w:sz="4" w:space="0" w:color="000000"/>
                    <w:bottom w:val="single" w:sz="4" w:space="0" w:color="000000"/>
                    <w:right w:val="single" w:sz="4" w:space="0" w:color="000000"/>
                  </w:tcBorders>
                  <w:shd w:val="clear" w:color="auto" w:fill="D9D9D9"/>
                </w:tcPr>
                <w:p w14:paraId="2CA937A8" w14:textId="77777777" w:rsidR="005340D8" w:rsidRDefault="00226A79" w:rsidP="002B62FF">
                  <w:pPr>
                    <w:framePr w:wrap="around" w:vAnchor="text" w:hAnchor="margin" w:y="1276"/>
                    <w:spacing w:after="0" w:line="259" w:lineRule="auto"/>
                    <w:ind w:left="0" w:right="42" w:firstLine="0"/>
                    <w:suppressOverlap/>
                    <w:jc w:val="center"/>
                  </w:pPr>
                  <w:r>
                    <w:rPr>
                      <w:b/>
                      <w:sz w:val="16"/>
                    </w:rPr>
                    <w:t>Strength</w:t>
                  </w:r>
                </w:p>
              </w:tc>
              <w:tc>
                <w:tcPr>
                  <w:tcW w:w="4686" w:type="dxa"/>
                  <w:tcBorders>
                    <w:top w:val="single" w:sz="4" w:space="0" w:color="000000"/>
                    <w:left w:val="single" w:sz="4" w:space="0" w:color="000000"/>
                    <w:bottom w:val="single" w:sz="4" w:space="0" w:color="000000"/>
                    <w:right w:val="single" w:sz="4" w:space="0" w:color="000000"/>
                  </w:tcBorders>
                  <w:shd w:val="clear" w:color="auto" w:fill="D9D9D9"/>
                </w:tcPr>
                <w:p w14:paraId="72C8FCB3" w14:textId="77777777" w:rsidR="005340D8" w:rsidRDefault="00226A79" w:rsidP="002B62FF">
                  <w:pPr>
                    <w:framePr w:wrap="around" w:vAnchor="text" w:hAnchor="margin" w:y="1276"/>
                    <w:spacing w:after="0" w:line="259" w:lineRule="auto"/>
                    <w:ind w:left="0" w:right="41" w:firstLine="0"/>
                    <w:suppressOverlap/>
                    <w:jc w:val="center"/>
                  </w:pPr>
                  <w:r>
                    <w:rPr>
                      <w:b/>
                      <w:sz w:val="16"/>
                    </w:rPr>
                    <w:t>Limitation for this study</w:t>
                  </w:r>
                </w:p>
              </w:tc>
            </w:tr>
            <w:tr w:rsidR="005340D8" w14:paraId="2320BC1D" w14:textId="77777777" w:rsidTr="006052FB">
              <w:trPr>
                <w:trHeight w:val="197"/>
              </w:trPr>
              <w:tc>
                <w:tcPr>
                  <w:tcW w:w="2538" w:type="dxa"/>
                  <w:tcBorders>
                    <w:top w:val="single" w:sz="4" w:space="0" w:color="000000"/>
                    <w:left w:val="single" w:sz="4" w:space="0" w:color="000000"/>
                    <w:bottom w:val="single" w:sz="4" w:space="0" w:color="000000"/>
                    <w:right w:val="single" w:sz="4" w:space="0" w:color="000000"/>
                  </w:tcBorders>
                </w:tcPr>
                <w:p w14:paraId="636F1D95" w14:textId="77777777" w:rsidR="005340D8" w:rsidRDefault="00226A79" w:rsidP="002B62FF">
                  <w:pPr>
                    <w:framePr w:wrap="around" w:vAnchor="text" w:hAnchor="margin" w:y="1276"/>
                    <w:spacing w:after="0" w:line="259" w:lineRule="auto"/>
                    <w:ind w:left="0" w:right="39" w:firstLine="0"/>
                    <w:suppressOverlap/>
                    <w:jc w:val="center"/>
                  </w:pPr>
                  <w:r>
                    <w:rPr>
                      <w:sz w:val="16"/>
                    </w:rPr>
                    <w:t>Cuckoo/CAPE sandbox</w:t>
                  </w:r>
                </w:p>
              </w:tc>
              <w:tc>
                <w:tcPr>
                  <w:tcW w:w="3710" w:type="dxa"/>
                  <w:tcBorders>
                    <w:top w:val="single" w:sz="4" w:space="0" w:color="000000"/>
                    <w:left w:val="single" w:sz="4" w:space="0" w:color="000000"/>
                    <w:bottom w:val="single" w:sz="4" w:space="0" w:color="000000"/>
                    <w:right w:val="single" w:sz="4" w:space="0" w:color="000000"/>
                  </w:tcBorders>
                </w:tcPr>
                <w:p w14:paraId="38CEBED6" w14:textId="77777777" w:rsidR="005340D8" w:rsidRDefault="00226A79" w:rsidP="002B62FF">
                  <w:pPr>
                    <w:framePr w:wrap="around" w:vAnchor="text" w:hAnchor="margin" w:y="1276"/>
                    <w:spacing w:after="0" w:line="259" w:lineRule="auto"/>
                    <w:ind w:left="0" w:right="41" w:firstLine="0"/>
                    <w:suppressOverlap/>
                    <w:jc w:val="center"/>
                  </w:pPr>
                  <w:r>
                    <w:rPr>
                      <w:sz w:val="16"/>
                    </w:rPr>
                    <w:t>Automated dynamic analysis</w:t>
                  </w:r>
                </w:p>
              </w:tc>
              <w:tc>
                <w:tcPr>
                  <w:tcW w:w="4686" w:type="dxa"/>
                  <w:tcBorders>
                    <w:top w:val="single" w:sz="4" w:space="0" w:color="000000"/>
                    <w:left w:val="single" w:sz="4" w:space="0" w:color="000000"/>
                    <w:bottom w:val="single" w:sz="4" w:space="0" w:color="000000"/>
                    <w:right w:val="single" w:sz="4" w:space="0" w:color="000000"/>
                  </w:tcBorders>
                </w:tcPr>
                <w:p w14:paraId="6E7BEC2F" w14:textId="77777777" w:rsidR="005340D8" w:rsidRDefault="00226A79" w:rsidP="002B62FF">
                  <w:pPr>
                    <w:framePr w:wrap="around" w:vAnchor="text" w:hAnchor="margin" w:y="1276"/>
                    <w:spacing w:after="0" w:line="259" w:lineRule="auto"/>
                    <w:ind w:left="0" w:right="41" w:firstLine="0"/>
                    <w:suppressOverlap/>
                    <w:jc w:val="center"/>
                  </w:pPr>
                  <w:r>
                    <w:rPr>
                      <w:sz w:val="16"/>
                    </w:rPr>
                    <w:t>Primarily passive laboratory assumptions</w:t>
                  </w:r>
                </w:p>
              </w:tc>
            </w:tr>
            <w:tr w:rsidR="005340D8" w14:paraId="5D9FD729" w14:textId="77777777" w:rsidTr="006052FB">
              <w:trPr>
                <w:trHeight w:val="381"/>
              </w:trPr>
              <w:tc>
                <w:tcPr>
                  <w:tcW w:w="2538" w:type="dxa"/>
                  <w:tcBorders>
                    <w:top w:val="single" w:sz="4" w:space="0" w:color="000000"/>
                    <w:left w:val="single" w:sz="4" w:space="0" w:color="000000"/>
                    <w:bottom w:val="single" w:sz="4" w:space="0" w:color="000000"/>
                    <w:right w:val="single" w:sz="4" w:space="0" w:color="000000"/>
                  </w:tcBorders>
                </w:tcPr>
                <w:p w14:paraId="39DD73E3" w14:textId="77777777" w:rsidR="005340D8" w:rsidRDefault="00226A79" w:rsidP="002B62FF">
                  <w:pPr>
                    <w:framePr w:wrap="around" w:vAnchor="text" w:hAnchor="margin" w:y="1276"/>
                    <w:spacing w:after="0" w:line="259" w:lineRule="auto"/>
                    <w:ind w:left="0" w:right="40" w:firstLine="0"/>
                    <w:suppressOverlap/>
                    <w:jc w:val="center"/>
                  </w:pPr>
                  <w:r>
                    <w:rPr>
                      <w:sz w:val="16"/>
                    </w:rPr>
                    <w:t>CAPEv2</w:t>
                  </w:r>
                </w:p>
              </w:tc>
              <w:tc>
                <w:tcPr>
                  <w:tcW w:w="3710" w:type="dxa"/>
                  <w:tcBorders>
                    <w:top w:val="single" w:sz="4" w:space="0" w:color="000000"/>
                    <w:left w:val="single" w:sz="4" w:space="0" w:color="000000"/>
                    <w:bottom w:val="single" w:sz="4" w:space="0" w:color="000000"/>
                    <w:right w:val="single" w:sz="4" w:space="0" w:color="000000"/>
                  </w:tcBorders>
                </w:tcPr>
                <w:p w14:paraId="7FB38CA6" w14:textId="77777777" w:rsidR="005340D8" w:rsidRDefault="00226A79" w:rsidP="002B62FF">
                  <w:pPr>
                    <w:framePr w:wrap="around" w:vAnchor="text" w:hAnchor="margin" w:y="1276"/>
                    <w:spacing w:after="0" w:line="259" w:lineRule="auto"/>
                    <w:ind w:left="0" w:right="43" w:firstLine="0"/>
                    <w:suppressOverlap/>
                    <w:jc w:val="center"/>
                  </w:pPr>
                  <w:r>
                    <w:rPr>
                      <w:sz w:val="16"/>
                    </w:rPr>
                    <w:t>Payload tracing and extraction</w:t>
                  </w:r>
                </w:p>
              </w:tc>
              <w:tc>
                <w:tcPr>
                  <w:tcW w:w="4686" w:type="dxa"/>
                  <w:tcBorders>
                    <w:top w:val="single" w:sz="4" w:space="0" w:color="000000"/>
                    <w:left w:val="single" w:sz="4" w:space="0" w:color="000000"/>
                    <w:bottom w:val="single" w:sz="4" w:space="0" w:color="000000"/>
                    <w:right w:val="single" w:sz="4" w:space="0" w:color="000000"/>
                  </w:tcBorders>
                </w:tcPr>
                <w:p w14:paraId="2627BD8F" w14:textId="78787A97" w:rsidR="005340D8" w:rsidRDefault="00226A79" w:rsidP="002B62FF">
                  <w:pPr>
                    <w:framePr w:wrap="around" w:vAnchor="text" w:hAnchor="margin" w:y="1276"/>
                    <w:spacing w:after="0" w:line="259" w:lineRule="auto"/>
                    <w:ind w:left="0" w:firstLine="0"/>
                    <w:suppressOverlap/>
                    <w:jc w:val="center"/>
                  </w:pPr>
                  <w:r>
                    <w:rPr>
                      <w:sz w:val="16"/>
                    </w:rPr>
                    <w:t>Does not by itself provide the proposed active-network and protected</w:t>
                  </w:r>
                  <w:r w:rsidR="006052FB">
                    <w:rPr>
                      <w:sz w:val="16"/>
                    </w:rPr>
                    <w:t xml:space="preserve"> </w:t>
                  </w:r>
                  <w:r>
                    <w:rPr>
                      <w:sz w:val="16"/>
                    </w:rPr>
                    <w:t>telemetry design</w:t>
                  </w:r>
                </w:p>
              </w:tc>
            </w:tr>
            <w:tr w:rsidR="005340D8" w14:paraId="7D297169" w14:textId="77777777" w:rsidTr="006052FB">
              <w:trPr>
                <w:trHeight w:val="195"/>
              </w:trPr>
              <w:tc>
                <w:tcPr>
                  <w:tcW w:w="2538" w:type="dxa"/>
                  <w:tcBorders>
                    <w:top w:val="single" w:sz="4" w:space="0" w:color="000000"/>
                    <w:left w:val="single" w:sz="4" w:space="0" w:color="000000"/>
                    <w:bottom w:val="single" w:sz="4" w:space="0" w:color="000000"/>
                    <w:right w:val="single" w:sz="4" w:space="0" w:color="000000"/>
                  </w:tcBorders>
                </w:tcPr>
                <w:p w14:paraId="580E3348" w14:textId="77777777" w:rsidR="005340D8" w:rsidRDefault="00226A79" w:rsidP="002B62FF">
                  <w:pPr>
                    <w:framePr w:wrap="around" w:vAnchor="text" w:hAnchor="margin" w:y="1276"/>
                    <w:spacing w:after="0" w:line="259" w:lineRule="auto"/>
                    <w:ind w:left="0" w:right="41" w:firstLine="0"/>
                    <w:suppressOverlap/>
                    <w:jc w:val="center"/>
                  </w:pPr>
                  <w:r>
                    <w:rPr>
                      <w:sz w:val="16"/>
                    </w:rPr>
                    <w:t>Anti-evasion research</w:t>
                  </w:r>
                </w:p>
              </w:tc>
              <w:tc>
                <w:tcPr>
                  <w:tcW w:w="3710" w:type="dxa"/>
                  <w:tcBorders>
                    <w:top w:val="single" w:sz="4" w:space="0" w:color="000000"/>
                    <w:left w:val="single" w:sz="4" w:space="0" w:color="000000"/>
                    <w:bottom w:val="single" w:sz="4" w:space="0" w:color="000000"/>
                    <w:right w:val="single" w:sz="4" w:space="0" w:color="000000"/>
                  </w:tcBorders>
                </w:tcPr>
                <w:p w14:paraId="33D246DF" w14:textId="77777777" w:rsidR="005340D8" w:rsidRDefault="00226A79" w:rsidP="002B62FF">
                  <w:pPr>
                    <w:framePr w:wrap="around" w:vAnchor="text" w:hAnchor="margin" w:y="1276"/>
                    <w:spacing w:after="0" w:line="259" w:lineRule="auto"/>
                    <w:ind w:left="0" w:right="43" w:firstLine="0"/>
                    <w:suppressOverlap/>
                    <w:jc w:val="center"/>
                  </w:pPr>
                  <w:r>
                    <w:rPr>
                      <w:sz w:val="16"/>
                    </w:rPr>
                    <w:t>Identifies VM, debugger and environment triggers</w:t>
                  </w:r>
                </w:p>
              </w:tc>
              <w:tc>
                <w:tcPr>
                  <w:tcW w:w="4686" w:type="dxa"/>
                  <w:tcBorders>
                    <w:top w:val="single" w:sz="4" w:space="0" w:color="000000"/>
                    <w:left w:val="single" w:sz="4" w:space="0" w:color="000000"/>
                    <w:bottom w:val="single" w:sz="4" w:space="0" w:color="000000"/>
                    <w:right w:val="single" w:sz="4" w:space="0" w:color="000000"/>
                  </w:tcBorders>
                </w:tcPr>
                <w:p w14:paraId="24F59A34" w14:textId="77777777" w:rsidR="005340D8" w:rsidRDefault="00226A79" w:rsidP="002B62FF">
                  <w:pPr>
                    <w:framePr w:wrap="around" w:vAnchor="text" w:hAnchor="margin" w:y="1276"/>
                    <w:spacing w:after="0" w:line="259" w:lineRule="auto"/>
                    <w:ind w:left="0" w:right="42" w:firstLine="0"/>
                    <w:suppressOverlap/>
                    <w:jc w:val="center"/>
                  </w:pPr>
                  <w:r>
                    <w:rPr>
                      <w:sz w:val="16"/>
                    </w:rPr>
                    <w:t>Often focuses on evasion rather than evidence integrity</w:t>
                  </w:r>
                </w:p>
              </w:tc>
            </w:tr>
            <w:tr w:rsidR="005340D8" w14:paraId="62EAA49B" w14:textId="77777777" w:rsidTr="006052FB">
              <w:trPr>
                <w:trHeight w:val="381"/>
              </w:trPr>
              <w:tc>
                <w:tcPr>
                  <w:tcW w:w="2538" w:type="dxa"/>
                  <w:tcBorders>
                    <w:top w:val="single" w:sz="4" w:space="0" w:color="000000"/>
                    <w:left w:val="single" w:sz="4" w:space="0" w:color="000000"/>
                    <w:bottom w:val="single" w:sz="4" w:space="0" w:color="000000"/>
                    <w:right w:val="single" w:sz="4" w:space="0" w:color="000000"/>
                  </w:tcBorders>
                </w:tcPr>
                <w:p w14:paraId="39F0D603" w14:textId="77777777" w:rsidR="005340D8" w:rsidRDefault="00226A79" w:rsidP="002B62FF">
                  <w:pPr>
                    <w:framePr w:wrap="around" w:vAnchor="text" w:hAnchor="margin" w:y="1276"/>
                    <w:spacing w:after="0" w:line="259" w:lineRule="auto"/>
                    <w:ind w:left="0" w:right="42" w:firstLine="0"/>
                    <w:suppressOverlap/>
                    <w:jc w:val="center"/>
                  </w:pPr>
                  <w:r>
                    <w:rPr>
                      <w:sz w:val="16"/>
                    </w:rPr>
                    <w:t>LLM-RD (kernel-level events)</w:t>
                  </w:r>
                </w:p>
              </w:tc>
              <w:tc>
                <w:tcPr>
                  <w:tcW w:w="3710" w:type="dxa"/>
                  <w:tcBorders>
                    <w:top w:val="single" w:sz="4" w:space="0" w:color="000000"/>
                    <w:left w:val="single" w:sz="4" w:space="0" w:color="000000"/>
                    <w:bottom w:val="single" w:sz="4" w:space="0" w:color="000000"/>
                    <w:right w:val="single" w:sz="4" w:space="0" w:color="000000"/>
                  </w:tcBorders>
                </w:tcPr>
                <w:p w14:paraId="674EF725" w14:textId="77777777" w:rsidR="005340D8" w:rsidRDefault="00226A79" w:rsidP="002B62FF">
                  <w:pPr>
                    <w:framePr w:wrap="around" w:vAnchor="text" w:hAnchor="margin" w:y="1276"/>
                    <w:spacing w:after="0" w:line="259" w:lineRule="auto"/>
                    <w:ind w:left="0" w:firstLine="0"/>
                    <w:suppressOverlap/>
                    <w:jc w:val="center"/>
                  </w:pPr>
                  <w:r>
                    <w:rPr>
                      <w:sz w:val="16"/>
                    </w:rPr>
                    <w:t>Kernel-level events with a frozen LLM for ransomware detection</w:t>
                  </w:r>
                </w:p>
              </w:tc>
              <w:tc>
                <w:tcPr>
                  <w:tcW w:w="4686" w:type="dxa"/>
                  <w:tcBorders>
                    <w:top w:val="single" w:sz="4" w:space="0" w:color="000000"/>
                    <w:left w:val="single" w:sz="4" w:space="0" w:color="000000"/>
                    <w:bottom w:val="single" w:sz="4" w:space="0" w:color="000000"/>
                    <w:right w:val="single" w:sz="4" w:space="0" w:color="000000"/>
                  </w:tcBorders>
                </w:tcPr>
                <w:p w14:paraId="5B6C4046" w14:textId="77777777" w:rsidR="005340D8" w:rsidRDefault="00226A79" w:rsidP="002B62FF">
                  <w:pPr>
                    <w:framePr w:wrap="around" w:vAnchor="text" w:hAnchor="margin" w:y="1276"/>
                    <w:spacing w:after="0" w:line="259" w:lineRule="auto"/>
                    <w:ind w:left="0" w:firstLine="0"/>
                    <w:suppressOverlap/>
                    <w:jc w:val="center"/>
                  </w:pPr>
                  <w:r>
                    <w:rPr>
                      <w:sz w:val="16"/>
                    </w:rPr>
                    <w:t>Emphasis on detection/classification rather than protected out-of-band telemetry and RAG explanation</w:t>
                  </w:r>
                </w:p>
              </w:tc>
            </w:tr>
            <w:tr w:rsidR="005340D8" w14:paraId="63AC50B6" w14:textId="77777777" w:rsidTr="006052FB">
              <w:trPr>
                <w:trHeight w:val="381"/>
              </w:trPr>
              <w:tc>
                <w:tcPr>
                  <w:tcW w:w="2538" w:type="dxa"/>
                  <w:tcBorders>
                    <w:top w:val="single" w:sz="4" w:space="0" w:color="000000"/>
                    <w:left w:val="single" w:sz="4" w:space="0" w:color="000000"/>
                    <w:bottom w:val="single" w:sz="4" w:space="0" w:color="000000"/>
                    <w:right w:val="single" w:sz="4" w:space="0" w:color="000000"/>
                  </w:tcBorders>
                </w:tcPr>
                <w:p w14:paraId="5EB9ACB7" w14:textId="77777777" w:rsidR="005340D8" w:rsidRDefault="00226A79" w:rsidP="002B62FF">
                  <w:pPr>
                    <w:framePr w:wrap="around" w:vAnchor="text" w:hAnchor="margin" w:y="1276"/>
                    <w:spacing w:after="0" w:line="259" w:lineRule="auto"/>
                    <w:ind w:left="0" w:right="41" w:firstLine="0"/>
                    <w:suppressOverlap/>
                    <w:jc w:val="center"/>
                  </w:pPr>
                  <w:r>
                    <w:rPr>
                      <w:sz w:val="16"/>
                    </w:rPr>
                    <w:t>CAPEv2 + RAG</w:t>
                  </w:r>
                </w:p>
              </w:tc>
              <w:tc>
                <w:tcPr>
                  <w:tcW w:w="3710" w:type="dxa"/>
                  <w:tcBorders>
                    <w:top w:val="single" w:sz="4" w:space="0" w:color="000000"/>
                    <w:left w:val="single" w:sz="4" w:space="0" w:color="000000"/>
                    <w:bottom w:val="single" w:sz="4" w:space="0" w:color="000000"/>
                    <w:right w:val="single" w:sz="4" w:space="0" w:color="000000"/>
                  </w:tcBorders>
                </w:tcPr>
                <w:p w14:paraId="1423E397" w14:textId="77777777" w:rsidR="005340D8" w:rsidRDefault="00226A79" w:rsidP="002B62FF">
                  <w:pPr>
                    <w:framePr w:wrap="around" w:vAnchor="text" w:hAnchor="margin" w:y="1276"/>
                    <w:spacing w:after="0" w:line="259" w:lineRule="auto"/>
                    <w:ind w:left="0" w:right="43" w:firstLine="0"/>
                    <w:suppressOverlap/>
                    <w:jc w:val="center"/>
                  </w:pPr>
                  <w:r>
                    <w:rPr>
                      <w:sz w:val="16"/>
                    </w:rPr>
                    <w:t>Automated interpretation and report generation</w:t>
                  </w:r>
                </w:p>
              </w:tc>
              <w:tc>
                <w:tcPr>
                  <w:tcW w:w="4686" w:type="dxa"/>
                  <w:tcBorders>
                    <w:top w:val="single" w:sz="4" w:space="0" w:color="000000"/>
                    <w:left w:val="single" w:sz="4" w:space="0" w:color="000000"/>
                    <w:bottom w:val="single" w:sz="4" w:space="0" w:color="000000"/>
                    <w:right w:val="single" w:sz="4" w:space="0" w:color="000000"/>
                  </w:tcBorders>
                </w:tcPr>
                <w:p w14:paraId="3FDEDC0A" w14:textId="77777777" w:rsidR="005340D8" w:rsidRDefault="00226A79" w:rsidP="002B62FF">
                  <w:pPr>
                    <w:framePr w:wrap="around" w:vAnchor="text" w:hAnchor="margin" w:y="1276"/>
                    <w:spacing w:after="0" w:line="259" w:lineRule="auto"/>
                    <w:ind w:left="0" w:firstLine="0"/>
                    <w:suppressOverlap/>
                    <w:jc w:val="center"/>
                  </w:pPr>
                  <w:r>
                    <w:rPr>
                      <w:sz w:val="16"/>
                    </w:rPr>
                    <w:t>Does not combine the full active-simulation and protected-telemetry design</w:t>
                  </w:r>
                </w:p>
              </w:tc>
            </w:tr>
            <w:tr w:rsidR="005340D8" w14:paraId="75CAE6D4" w14:textId="77777777" w:rsidTr="006052FB">
              <w:trPr>
                <w:trHeight w:val="195"/>
              </w:trPr>
              <w:tc>
                <w:tcPr>
                  <w:tcW w:w="2538" w:type="dxa"/>
                  <w:tcBorders>
                    <w:top w:val="single" w:sz="4" w:space="0" w:color="000000"/>
                    <w:left w:val="single" w:sz="4" w:space="0" w:color="000000"/>
                    <w:bottom w:val="single" w:sz="4" w:space="0" w:color="000000"/>
                    <w:right w:val="single" w:sz="4" w:space="0" w:color="000000"/>
                  </w:tcBorders>
                </w:tcPr>
                <w:p w14:paraId="64A1313A" w14:textId="77777777" w:rsidR="005340D8" w:rsidRDefault="00226A79" w:rsidP="002B62FF">
                  <w:pPr>
                    <w:framePr w:wrap="around" w:vAnchor="text" w:hAnchor="margin" w:y="1276"/>
                    <w:spacing w:after="0" w:line="259" w:lineRule="auto"/>
                    <w:ind w:left="0" w:right="40" w:firstLine="0"/>
                    <w:suppressOverlap/>
                    <w:jc w:val="center"/>
                  </w:pPr>
                  <w:r>
                    <w:rPr>
                      <w:sz w:val="16"/>
                    </w:rPr>
                    <w:t>Proposed system</w:t>
                  </w:r>
                </w:p>
              </w:tc>
              <w:tc>
                <w:tcPr>
                  <w:tcW w:w="3710" w:type="dxa"/>
                  <w:tcBorders>
                    <w:top w:val="single" w:sz="4" w:space="0" w:color="000000"/>
                    <w:left w:val="single" w:sz="4" w:space="0" w:color="000000"/>
                    <w:bottom w:val="single" w:sz="4" w:space="0" w:color="000000"/>
                    <w:right w:val="single" w:sz="4" w:space="0" w:color="000000"/>
                  </w:tcBorders>
                </w:tcPr>
                <w:p w14:paraId="16EA797B" w14:textId="638E60E6" w:rsidR="005340D8" w:rsidRDefault="00226A79" w:rsidP="002B62FF">
                  <w:pPr>
                    <w:framePr w:wrap="around" w:vAnchor="text" w:hAnchor="margin" w:y="1276"/>
                    <w:spacing w:after="0" w:line="259" w:lineRule="auto"/>
                    <w:ind w:left="0" w:right="44" w:firstLine="0"/>
                    <w:suppressOverlap/>
                    <w:jc w:val="center"/>
                  </w:pPr>
                  <w:r>
                    <w:rPr>
                      <w:sz w:val="16"/>
                    </w:rPr>
                    <w:t xml:space="preserve">Active simulation + secure telemetry + heuristics </w:t>
                  </w:r>
                  <w:proofErr w:type="gramStart"/>
                  <w:r>
                    <w:rPr>
                      <w:sz w:val="16"/>
                    </w:rPr>
                    <w:t xml:space="preserve">+ </w:t>
                  </w:r>
                  <w:r w:rsidR="006052FB">
                    <w:rPr>
                      <w:sz w:val="16"/>
                    </w:rPr>
                    <w:t xml:space="preserve"> GenAI</w:t>
                  </w:r>
                  <w:proofErr w:type="gramEnd"/>
                  <w:r w:rsidR="006052FB">
                    <w:rPr>
                      <w:sz w:val="16"/>
                    </w:rPr>
                    <w:t>/RAG</w:t>
                  </w:r>
                </w:p>
              </w:tc>
              <w:tc>
                <w:tcPr>
                  <w:tcW w:w="4686" w:type="dxa"/>
                  <w:tcBorders>
                    <w:top w:val="single" w:sz="4" w:space="0" w:color="000000"/>
                    <w:left w:val="single" w:sz="4" w:space="0" w:color="000000"/>
                    <w:bottom w:val="single" w:sz="4" w:space="0" w:color="000000"/>
                    <w:right w:val="single" w:sz="4" w:space="0" w:color="000000"/>
                  </w:tcBorders>
                </w:tcPr>
                <w:p w14:paraId="3C431D61" w14:textId="7F73382A" w:rsidR="005340D8" w:rsidRDefault="00226A79" w:rsidP="002B62FF">
                  <w:pPr>
                    <w:framePr w:wrap="around" w:vAnchor="text" w:hAnchor="margin" w:y="1276"/>
                    <w:spacing w:after="0" w:line="259" w:lineRule="auto"/>
                    <w:ind w:left="1" w:firstLine="0"/>
                    <w:suppressOverlap/>
                    <w:jc w:val="left"/>
                  </w:pPr>
                  <w:r>
                    <w:rPr>
                      <w:sz w:val="16"/>
                    </w:rPr>
                    <w:t xml:space="preserve">Full end-to-end empirical validation via the orchestrator remains </w:t>
                  </w:r>
                  <w:proofErr w:type="gramStart"/>
                  <w:r>
                    <w:rPr>
                      <w:sz w:val="16"/>
                    </w:rPr>
                    <w:t xml:space="preserve">future </w:t>
                  </w:r>
                  <w:r w:rsidR="006052FB">
                    <w:rPr>
                      <w:sz w:val="16"/>
                    </w:rPr>
                    <w:t>.work</w:t>
                  </w:r>
                  <w:proofErr w:type="gramEnd"/>
                </w:p>
              </w:tc>
            </w:tr>
          </w:tbl>
          <w:p w14:paraId="040655FF" w14:textId="77777777" w:rsidR="005340D8" w:rsidRDefault="005340D8">
            <w:pPr>
              <w:spacing w:after="0" w:line="259" w:lineRule="auto"/>
              <w:ind w:left="0" w:firstLine="0"/>
              <w:jc w:val="center"/>
            </w:pPr>
          </w:p>
        </w:tc>
      </w:tr>
    </w:tbl>
    <w:p w14:paraId="493189CC" w14:textId="77777777" w:rsidR="005340D8" w:rsidRDefault="00226A79">
      <w:pPr>
        <w:ind w:left="-5" w:right="44"/>
        <w:jc w:val="both"/>
      </w:pPr>
      <w:r>
        <w:rPr>
          <w:rFonts w:ascii="Times New Roman" w:hAnsi="Times New Roman"/>
          <w:sz w:val="18"/>
        </w:rPr>
        <w:t>Table I summarises the strengths of representative prior approaches and the corresponding limitation that motivates the present study (see Table I, below).</w:t>
      </w:r>
    </w:p>
    <w:p w14:paraId="03EB757C" w14:textId="77777777" w:rsidR="005340D8" w:rsidRDefault="00226A79">
      <w:pPr>
        <w:spacing w:after="119"/>
        <w:ind w:left="-5" w:right="44"/>
        <w:jc w:val="both"/>
      </w:pPr>
      <w:r>
        <w:rPr>
          <w:rFonts w:ascii="Times New Roman" w:hAnsi="Times New Roman"/>
          <w:sz w:val="18"/>
        </w:rPr>
        <w:lastRenderedPageBreak/>
        <w:t>The research gap is architectural and methodological. The proposed work separates the trusted evidence substrate from the interpretation layer, allowing ablation studies to determine whether improvements originate from active simulation, protected telemetry, GenAI, or their combination. This distinction is important because GenAI can increase explanatory value while simultaneously introducing hallucination, variability and inference cost.</w:t>
      </w:r>
    </w:p>
    <w:p w14:paraId="7B06B750" w14:textId="77777777" w:rsidR="005340D8" w:rsidRDefault="00226A79">
      <w:pPr>
        <w:spacing w:after="226"/>
        <w:ind w:left="-5" w:right="44"/>
        <w:jc w:val="both"/>
      </w:pPr>
      <w:r>
        <w:rPr>
          <w:rFonts w:ascii="Times New Roman" w:hAnsi="Times New Roman"/>
          <w:sz w:val="18"/>
        </w:rPr>
        <w:t>The manuscript also avoids claiming that GenAI is a superior ransomware classifier without evidence. Instead, the language model is evaluated as an interpretation component with explicit uncertainty and unsupported-claim measurements.</w:t>
      </w:r>
    </w:p>
    <w:p w14:paraId="4BB36AC7" w14:textId="77777777" w:rsidR="005340D8" w:rsidRDefault="00226A79">
      <w:pPr>
        <w:pStyle w:val="Heading1"/>
        <w:keepNext/>
        <w:spacing w:after="127"/>
        <w:ind w:right="55"/>
      </w:pPr>
      <w:r>
        <w:rPr>
          <w:rFonts w:ascii="Times New Roman" w:hAnsi="Times New Roman"/>
          <w:b/>
          <w:sz w:val="20"/>
        </w:rPr>
        <w:t>IV. PROBLEM FORMULATION AND THREAT MODEL</w:t>
      </w:r>
    </w:p>
    <w:p w14:paraId="3D1431BB" w14:textId="77777777" w:rsidR="005340D8" w:rsidRDefault="00226A79">
      <w:pPr>
        <w:pStyle w:val="Heading2"/>
        <w:keepNext/>
        <w:ind w:left="-5"/>
      </w:pPr>
      <w:r>
        <w:rPr>
          <w:rFonts w:ascii="Times New Roman" w:hAnsi="Times New Roman"/>
          <w:i/>
          <w:sz w:val="18"/>
        </w:rPr>
        <w:t>A. Telemetry Integrity</w:t>
      </w:r>
    </w:p>
    <w:p w14:paraId="4AC499D1" w14:textId="77777777" w:rsidR="005340D8" w:rsidRDefault="00226A79">
      <w:pPr>
        <w:spacing w:after="119"/>
        <w:ind w:left="-5" w:right="44"/>
        <w:jc w:val="both"/>
      </w:pPr>
      <w:r>
        <w:rPr>
          <w:rFonts w:ascii="Times New Roman" w:hAnsi="Times New Roman"/>
          <w:sz w:val="18"/>
        </w:rPr>
        <w:t>Let S denote the sandbox environment, M the ransomware sample and T the telemetry stream. The integrity objective is expressed as: P(Tamper(T) | M executes in S) → 0.  (1)</w:t>
      </w:r>
    </w:p>
    <w:p w14:paraId="734DBA51" w14:textId="44AA4E49" w:rsidR="005340D8" w:rsidRDefault="00226A79">
      <w:pPr>
        <w:spacing w:after="0"/>
        <w:ind w:left="-5" w:right="44"/>
        <w:jc w:val="both"/>
      </w:pPr>
      <w:r>
        <w:rPr>
          <w:rFonts w:ascii="Times New Roman" w:hAnsi="Times New Roman"/>
          <w:sz w:val="18"/>
        </w:rPr>
        <w:t>The objective is to minimise the probability that a guest</w:t>
      </w:r>
      <w:r w:rsidR="006052FB">
        <w:rPr>
          <w:rFonts w:ascii="Times New Roman" w:hAnsi="Times New Roman"/>
          <w:sz w:val="18"/>
        </w:rPr>
        <w:t>-</w:t>
      </w:r>
      <w:r>
        <w:rPr>
          <w:rFonts w:ascii="Times New Roman" w:hAnsi="Times New Roman"/>
          <w:sz w:val="18"/>
        </w:rPr>
        <w:t xml:space="preserve">resident adversary can modify, inject or corrupt evidence before trusted storage. AES-256-GCM provides </w:t>
      </w:r>
    </w:p>
    <w:p w14:paraId="07F1BC00" w14:textId="4F2B4789" w:rsidR="005340D8" w:rsidRDefault="00226A79">
      <w:pPr>
        <w:ind w:left="-5" w:right="44"/>
        <w:jc w:val="both"/>
      </w:pPr>
      <w:r>
        <w:rPr>
          <w:rFonts w:ascii="Times New Roman" w:hAnsi="Times New Roman"/>
          <w:sz w:val="18"/>
        </w:rPr>
        <w:t>authenticated encryption for telemetry messages, while out</w:t>
      </w:r>
      <w:r w:rsidR="006052FB">
        <w:rPr>
          <w:rFonts w:ascii="Times New Roman" w:hAnsi="Times New Roman"/>
          <w:sz w:val="18"/>
        </w:rPr>
        <w:t>-</w:t>
      </w:r>
      <w:r>
        <w:rPr>
          <w:rFonts w:ascii="Times New Roman" w:hAnsi="Times New Roman"/>
          <w:sz w:val="18"/>
        </w:rPr>
        <w:t>of-band network observation reduces dependence on guest</w:t>
      </w:r>
      <w:r w:rsidR="006052FB">
        <w:rPr>
          <w:rFonts w:ascii="Times New Roman" w:hAnsi="Times New Roman"/>
          <w:sz w:val="18"/>
        </w:rPr>
        <w:t>-</w:t>
      </w:r>
      <w:r>
        <w:rPr>
          <w:rFonts w:ascii="Times New Roman" w:hAnsi="Times New Roman"/>
          <w:sz w:val="18"/>
        </w:rPr>
        <w:t>resident packet capture.</w:t>
      </w:r>
    </w:p>
    <w:p w14:paraId="5FC6082A" w14:textId="77777777" w:rsidR="005340D8" w:rsidRDefault="00226A79">
      <w:pPr>
        <w:pStyle w:val="Heading2"/>
        <w:keepNext/>
        <w:ind w:left="-5"/>
      </w:pPr>
      <w:r>
        <w:rPr>
          <w:rFonts w:ascii="Times New Roman" w:hAnsi="Times New Roman"/>
          <w:i/>
          <w:sz w:val="18"/>
        </w:rPr>
        <w:t>B. Deterministic Behaviour Score</w:t>
      </w:r>
    </w:p>
    <w:p w14:paraId="4B342DFD" w14:textId="77777777" w:rsidR="005340D8" w:rsidRDefault="00226A79">
      <w:pPr>
        <w:ind w:left="-5" w:right="44"/>
        <w:jc w:val="both"/>
      </w:pPr>
      <w:r>
        <w:rPr>
          <w:rFonts w:ascii="Times New Roman" w:hAnsi="Times New Roman"/>
          <w:sz w:val="18"/>
        </w:rPr>
        <w:t xml:space="preserve">Let Et be the set of observed events up to time t and w(e) the weight assigned to an indicator e. The heuristic score is: </w:t>
      </w:r>
      <w:proofErr w:type="spellStart"/>
      <w:r>
        <w:rPr>
          <w:rFonts w:ascii="Times New Roman" w:hAnsi="Times New Roman"/>
          <w:sz w:val="18"/>
        </w:rPr>
        <w:t>Sh</w:t>
      </w:r>
      <w:proofErr w:type="spellEnd"/>
      <w:r>
        <w:rPr>
          <w:rFonts w:ascii="Times New Roman" w:hAnsi="Times New Roman"/>
          <w:sz w:val="18"/>
        </w:rPr>
        <w:t xml:space="preserve">(t) = Σ w(e) for </w:t>
      </w:r>
      <w:proofErr w:type="gramStart"/>
      <w:r>
        <w:rPr>
          <w:rFonts w:ascii="Times New Roman" w:hAnsi="Times New Roman"/>
          <w:sz w:val="18"/>
        </w:rPr>
        <w:t>e  Et</w:t>
      </w:r>
      <w:proofErr w:type="gramEnd"/>
      <w:r>
        <w:rPr>
          <w:rFonts w:ascii="Times New Roman" w:hAnsi="Times New Roman"/>
          <w:sz w:val="18"/>
        </w:rPr>
        <w:t>.  ∈ (2)</w:t>
      </w:r>
    </w:p>
    <w:p w14:paraId="2BD530FB" w14:textId="77777777" w:rsidR="005340D8" w:rsidRDefault="00226A79">
      <w:pPr>
        <w:ind w:left="-5" w:right="44"/>
        <w:jc w:val="both"/>
      </w:pPr>
      <w:r>
        <w:rPr>
          <w:rFonts w:ascii="Times New Roman" w:hAnsi="Times New Roman"/>
          <w:sz w:val="18"/>
        </w:rPr>
        <w:t>The baseline implementation uses +40 for mass file renaming, +30 for CryptoAPI activity and +50 for shadowcopy deletion. A score greater than 80 triggers a ransomware flag and process suspension. These values are initial laboratory rules and must be tuned or justified using the final dataset rather than presented as universally optimal.</w:t>
      </w:r>
    </w:p>
    <w:p w14:paraId="2CC4E081" w14:textId="77777777" w:rsidR="005340D8" w:rsidRDefault="00226A79">
      <w:pPr>
        <w:pStyle w:val="Heading2"/>
        <w:keepNext/>
        <w:ind w:left="-5"/>
      </w:pPr>
      <w:r>
        <w:rPr>
          <w:rFonts w:ascii="Times New Roman" w:hAnsi="Times New Roman"/>
          <w:i/>
          <w:sz w:val="18"/>
        </w:rPr>
        <w:t>C. GenAI Interpretation</w:t>
      </w:r>
    </w:p>
    <w:p w14:paraId="17E58E1B" w14:textId="77777777" w:rsidR="005340D8" w:rsidRDefault="00226A79">
      <w:pPr>
        <w:ind w:left="-5" w:right="44"/>
        <w:jc w:val="both"/>
      </w:pPr>
      <w:r>
        <w:rPr>
          <w:rFonts w:ascii="Times New Roman" w:hAnsi="Times New Roman"/>
          <w:sz w:val="18"/>
        </w:rPr>
        <w:t xml:space="preserve">Let X denote a normalised evidence window, R(X) the retrieved context and L the language model. The output is constrained as Y = </w:t>
      </w:r>
      <w:proofErr w:type="gramStart"/>
      <w:r>
        <w:rPr>
          <w:rFonts w:ascii="Times New Roman" w:hAnsi="Times New Roman"/>
          <w:sz w:val="18"/>
        </w:rPr>
        <w:t>L(</w:t>
      </w:r>
      <w:proofErr w:type="gramEnd"/>
      <w:r>
        <w:rPr>
          <w:rFonts w:ascii="Times New Roman" w:hAnsi="Times New Roman"/>
          <w:sz w:val="18"/>
        </w:rPr>
        <w:t>X, R(X), π</w:t>
      </w:r>
      <w:proofErr w:type="gramStart"/>
      <w:r>
        <w:rPr>
          <w:rFonts w:ascii="Times New Roman" w:hAnsi="Times New Roman"/>
          <w:sz w:val="18"/>
        </w:rPr>
        <w:t>),  (</w:t>
      </w:r>
      <w:proofErr w:type="gramEnd"/>
      <w:r>
        <w:rPr>
          <w:rFonts w:ascii="Times New Roman" w:hAnsi="Times New Roman"/>
          <w:sz w:val="18"/>
        </w:rPr>
        <w:t xml:space="preserve">3) where π is a fixed policy specifying required fields and evidence conditions. An output is accepted only if each asserted classification or ATT&amp;CK technique is linked to observed events or retrieved references. </w:t>
      </w:r>
      <w:proofErr w:type="gramStart"/>
      <w:r>
        <w:rPr>
          <w:rFonts w:ascii="Times New Roman" w:hAnsi="Times New Roman"/>
          <w:sz w:val="18"/>
        </w:rPr>
        <w:t>Otherwise</w:t>
      </w:r>
      <w:proofErr w:type="gramEnd"/>
      <w:r>
        <w:rPr>
          <w:rFonts w:ascii="Times New Roman" w:hAnsi="Times New Roman"/>
          <w:sz w:val="18"/>
        </w:rPr>
        <w:t xml:space="preserve"> the item is marked Unverified.</w:t>
      </w:r>
    </w:p>
    <w:p w14:paraId="5C896218" w14:textId="77777777" w:rsidR="005340D8" w:rsidRDefault="00226A79">
      <w:pPr>
        <w:pStyle w:val="Heading2"/>
        <w:keepNext/>
        <w:ind w:left="-5"/>
      </w:pPr>
      <w:r>
        <w:rPr>
          <w:rFonts w:ascii="Times New Roman" w:hAnsi="Times New Roman"/>
          <w:i/>
          <w:sz w:val="18"/>
        </w:rPr>
        <w:t>D. Threat Model</w:t>
      </w:r>
    </w:p>
    <w:p w14:paraId="1D852D14" w14:textId="77777777" w:rsidR="005340D8" w:rsidRDefault="00226A79">
      <w:pPr>
        <w:spacing w:after="226"/>
        <w:ind w:left="-5" w:right="44"/>
        <w:jc w:val="both"/>
      </w:pPr>
      <w:r>
        <w:rPr>
          <w:rFonts w:ascii="Times New Roman" w:hAnsi="Times New Roman"/>
          <w:sz w:val="18"/>
        </w:rPr>
        <w:t xml:space="preserve">The adversary is assumed to execute with administrative privileges inside the isolated Windows guest. It may inspect memory and interfaces, perform anti-analysis checks, modify local artefacts and initiate network activity. The hypervisor, out-of-band capture path and trusted reporting service are separate trust boundaries. The GenAI service is separated from the guest and is prohibited from </w:t>
      </w:r>
      <w:r>
        <w:rPr>
          <w:rFonts w:ascii="Times New Roman" w:hAnsi="Times New Roman"/>
          <w:sz w:val="18"/>
        </w:rPr>
        <w:t>executing commands, changing snapshots or controlling network connectivity.</w:t>
      </w:r>
    </w:p>
    <w:p w14:paraId="191F237F" w14:textId="77777777" w:rsidR="005340D8" w:rsidRDefault="00226A79">
      <w:pPr>
        <w:pStyle w:val="Heading1"/>
        <w:keepNext/>
        <w:ind w:left="105" w:right="0" w:firstLine="0"/>
        <w:jc w:val="left"/>
      </w:pPr>
      <w:r>
        <w:rPr>
          <w:rFonts w:ascii="Times New Roman" w:hAnsi="Times New Roman"/>
          <w:b/>
          <w:sz w:val="20"/>
        </w:rPr>
        <w:t>V. PROPOSED SYSTEM AND IMPLEMENTATION</w:t>
      </w:r>
    </w:p>
    <w:p w14:paraId="5AA180B3" w14:textId="77777777" w:rsidR="005340D8" w:rsidRDefault="00226A79">
      <w:pPr>
        <w:spacing w:after="119"/>
        <w:ind w:left="-5" w:right="44"/>
        <w:jc w:val="both"/>
      </w:pPr>
      <w:r>
        <w:rPr>
          <w:rFonts w:ascii="Times New Roman" w:hAnsi="Times New Roman"/>
          <w:sz w:val="18"/>
        </w:rPr>
        <w:t>The implementation is organised as a controlled laboratory pipeline. Kali Linux acts as the orchestration controller. A Windows analysis guest is restored from a clean snapshot before each run. Metasploit is used only to provide controlled vulnerable services or authorised adversarial stimuli. Wireshark/tshark observes network traffic outside the guest. A Python collector records process and file events, calculates the deterministic score and produces structured telemetry. The telemetry service applies AES-256-GCM and forwards authenticated records to a trusted Node.js reporting engine. The GenAI/RAG service receives only selected structured evidence, as shown in Fig. 1.</w:t>
      </w:r>
    </w:p>
    <w:p w14:paraId="00D32A66" w14:textId="77777777" w:rsidR="005340D8" w:rsidRDefault="00226A79">
      <w:pPr>
        <w:spacing w:after="7" w:line="266" w:lineRule="auto"/>
        <w:ind w:left="-5" w:right="4"/>
        <w:jc w:val="center"/>
      </w:pPr>
      <w:r>
        <w:rPr>
          <w:rFonts w:ascii="Times New Roman" w:hAnsi="Times New Roman"/>
          <w:i/>
          <w:sz w:val="16"/>
        </w:rPr>
        <w:t xml:space="preserve">Fig. 1. Controlled Vulnerable Services → Windows Sandbox Guest </w:t>
      </w:r>
    </w:p>
    <w:p w14:paraId="400E3697" w14:textId="77777777" w:rsidR="005340D8" w:rsidRDefault="00226A79">
      <w:pPr>
        <w:spacing w:after="152" w:line="266" w:lineRule="auto"/>
        <w:ind w:left="-5" w:right="4"/>
        <w:jc w:val="both"/>
      </w:pPr>
      <w:r>
        <w:rPr>
          <w:rFonts w:ascii="Times New Roman" w:hAnsi="Times New Roman"/>
          <w:i/>
          <w:sz w:val="18"/>
        </w:rPr>
        <w:t>→ Out-of-band Network Capture → Python Behaviour Collector → AES-256-GCM Telemetry → Trusted Node.js Reporting → RAG Knowledge Store → GenAI Interpretation Service.</w:t>
      </w:r>
    </w:p>
    <w:p w14:paraId="7C5106C9" w14:textId="77777777" w:rsidR="005340D8" w:rsidRDefault="00226A79">
      <w:pPr>
        <w:pStyle w:val="Heading2"/>
        <w:keepNext/>
        <w:ind w:left="-5"/>
      </w:pPr>
      <w:r>
        <w:rPr>
          <w:rFonts w:ascii="Times New Roman" w:hAnsi="Times New Roman"/>
          <w:i/>
          <w:sz w:val="18"/>
        </w:rPr>
        <w:t>A. Data Flow</w:t>
      </w:r>
    </w:p>
    <w:p w14:paraId="4B7E40B5" w14:textId="77777777" w:rsidR="005340D8" w:rsidRDefault="00226A79">
      <w:pPr>
        <w:ind w:left="-5" w:right="44"/>
        <w:jc w:val="both"/>
      </w:pPr>
      <w:r>
        <w:rPr>
          <w:rFonts w:ascii="Times New Roman" w:hAnsi="Times New Roman"/>
          <w:sz w:val="18"/>
        </w:rPr>
        <w:t>Each run begins from a known snapshot. The sample executes in the isolated guest. Behavioural events are normalised into structured records containing timestamps, event categories, process information, file actions, API categories, network destinations and score state. Records are encrypted before transmission. Network telemetry is collected independently by the host. The trusted reporting layer verifies authentication, aggregates the event window and forwards only the evidence required for interpretation.</w:t>
      </w:r>
    </w:p>
    <w:p w14:paraId="45854AFA" w14:textId="77777777" w:rsidR="005340D8" w:rsidRDefault="00226A79">
      <w:pPr>
        <w:pStyle w:val="Heading2"/>
        <w:keepNext/>
        <w:ind w:left="-5"/>
      </w:pPr>
      <w:r>
        <w:rPr>
          <w:rFonts w:ascii="Times New Roman" w:hAnsi="Times New Roman"/>
          <w:i/>
          <w:sz w:val="18"/>
        </w:rPr>
        <w:t>B. GenAI Service</w:t>
      </w:r>
    </w:p>
    <w:p w14:paraId="259A2FE4" w14:textId="4A643334" w:rsidR="005340D8" w:rsidRDefault="00226A79">
      <w:pPr>
        <w:ind w:left="-5" w:right="44"/>
        <w:jc w:val="both"/>
      </w:pPr>
      <w:r>
        <w:rPr>
          <w:rFonts w:ascii="Times New Roman" w:hAnsi="Times New Roman"/>
          <w:sz w:val="18"/>
        </w:rPr>
        <w:t>The model never receives the ransomware executable and has no shell access, malware-execution capability or network</w:t>
      </w:r>
      <w:r w:rsidR="006052FB">
        <w:rPr>
          <w:rFonts w:ascii="Times New Roman" w:hAnsi="Times New Roman"/>
          <w:sz w:val="18"/>
        </w:rPr>
        <w:t>-</w:t>
      </w:r>
      <w:r>
        <w:rPr>
          <w:rFonts w:ascii="Times New Roman" w:hAnsi="Times New Roman"/>
          <w:sz w:val="18"/>
        </w:rPr>
        <w:t>control authority. The input consists of compact structured observations. A retrieval layer searches a curated vector index containing approved ATT&amp;CK descriptions, research notes and laboratory evidence.</w:t>
      </w:r>
    </w:p>
    <w:p w14:paraId="272BF3DA" w14:textId="77777777" w:rsidR="005340D8" w:rsidRDefault="00226A79">
      <w:pPr>
        <w:pStyle w:val="Heading2"/>
        <w:keepNext/>
        <w:ind w:left="-5"/>
      </w:pPr>
      <w:r>
        <w:rPr>
          <w:rFonts w:ascii="Times New Roman" w:hAnsi="Times New Roman"/>
          <w:i/>
          <w:sz w:val="18"/>
        </w:rPr>
        <w:t>C. Structured Output Contract</w:t>
      </w:r>
    </w:p>
    <w:p w14:paraId="5C36CA9C" w14:textId="77777777" w:rsidR="005340D8" w:rsidRDefault="00226A79">
      <w:pPr>
        <w:ind w:left="-5" w:right="44"/>
        <w:jc w:val="both"/>
      </w:pPr>
      <w:r>
        <w:rPr>
          <w:rFonts w:ascii="Times New Roman" w:hAnsi="Times New Roman"/>
          <w:sz w:val="18"/>
        </w:rPr>
        <w:t>The model must return six fields: behavioural classification, confidence estimate, observed evidence, candidate ATT&amp;CK techniques, reasoning summary and uncertainty/missing evidence. The validator rejects malformed outputs and changes unsupported claims to Unverified.</w:t>
      </w:r>
    </w:p>
    <w:p w14:paraId="3D07A966" w14:textId="77777777" w:rsidR="005340D8" w:rsidRDefault="00226A79">
      <w:pPr>
        <w:pStyle w:val="Heading2"/>
        <w:keepNext/>
        <w:ind w:left="-5"/>
      </w:pPr>
      <w:r>
        <w:rPr>
          <w:rFonts w:ascii="Times New Roman" w:hAnsi="Times New Roman"/>
          <w:i/>
          <w:sz w:val="18"/>
        </w:rPr>
        <w:t>D. RAG Knowledge Store</w:t>
      </w:r>
    </w:p>
    <w:p w14:paraId="69FA8904" w14:textId="77777777" w:rsidR="005340D8" w:rsidRDefault="00226A79">
      <w:pPr>
        <w:ind w:left="-5" w:right="44"/>
        <w:jc w:val="both"/>
      </w:pPr>
      <w:r>
        <w:rPr>
          <w:rFonts w:ascii="Times New Roman" w:hAnsi="Times New Roman"/>
          <w:sz w:val="18"/>
        </w:rPr>
        <w:t>Each retrieved document contains metadata for source, technique identifier, platform and validation status. Retrieval parameters, including top-k, embedding model and corpus version, are recorded for reproducibility.</w:t>
      </w:r>
    </w:p>
    <w:p w14:paraId="4B674BEC" w14:textId="77777777" w:rsidR="005340D8" w:rsidRDefault="00226A79">
      <w:pPr>
        <w:pStyle w:val="Heading2"/>
        <w:keepNext/>
        <w:ind w:left="-5"/>
      </w:pPr>
      <w:r>
        <w:rPr>
          <w:rFonts w:ascii="Times New Roman" w:hAnsi="Times New Roman"/>
          <w:i/>
          <w:sz w:val="18"/>
        </w:rPr>
        <w:lastRenderedPageBreak/>
        <w:t>E. Fail-Closed Behaviour</w:t>
      </w:r>
    </w:p>
    <w:p w14:paraId="54D88509" w14:textId="77777777" w:rsidR="005340D8" w:rsidRDefault="00226A79">
      <w:pPr>
        <w:ind w:left="-5" w:right="44"/>
        <w:jc w:val="both"/>
      </w:pPr>
      <w:r>
        <w:rPr>
          <w:rFonts w:ascii="Times New Roman" w:hAnsi="Times New Roman"/>
          <w:sz w:val="18"/>
        </w:rPr>
        <w:t>If the language model is unavailable, the deterministic detector, telemetry encryption and evidence collection remain operational. GenAI is therefore an analytical dependency rather than a security boundary.</w:t>
      </w:r>
    </w:p>
    <w:p w14:paraId="11747E1E" w14:textId="77777777" w:rsidR="005340D8" w:rsidRDefault="00226A79">
      <w:pPr>
        <w:pStyle w:val="Heading2"/>
        <w:keepNext/>
        <w:ind w:left="-5"/>
      </w:pPr>
      <w:r>
        <w:rPr>
          <w:rFonts w:ascii="Times New Roman" w:hAnsi="Times New Roman"/>
          <w:i/>
          <w:sz w:val="18"/>
        </w:rPr>
        <w:t>F. Sandbox Orchestrator Implementation</w:t>
      </w:r>
    </w:p>
    <w:p w14:paraId="3D170231" w14:textId="700325BC" w:rsidR="005340D8" w:rsidRDefault="00226A79">
      <w:pPr>
        <w:spacing w:after="119"/>
        <w:ind w:left="-5" w:right="44"/>
        <w:jc w:val="both"/>
      </w:pPr>
      <w:r>
        <w:rPr>
          <w:rFonts w:ascii="Times New Roman" w:hAnsi="Times New Roman"/>
          <w:sz w:val="18"/>
        </w:rPr>
        <w:t>The architecture includes a fully automated, hypervisor</w:t>
      </w:r>
      <w:r w:rsidR="006052FB">
        <w:rPr>
          <w:rFonts w:ascii="Times New Roman" w:hAnsi="Times New Roman"/>
          <w:sz w:val="18"/>
        </w:rPr>
        <w:t>-</w:t>
      </w:r>
      <w:r>
        <w:rPr>
          <w:rFonts w:ascii="Times New Roman" w:hAnsi="Times New Roman"/>
          <w:sz w:val="18"/>
        </w:rPr>
        <w:t>based sandbox orchestrator interfacing with a Type-2 hypervisor (VirtualBox) to manage the containment lifecycle: reverting the guest to a sterile clean_state snapshot, transferring the payload out-of-band via Guest Additions, and executing it headlessly. A host-side telemetry agent using scapy captures DNS and TCP activity independently of the guest. The orchestrator is implemented and operational; however, the empirical results in Section VIII were obtained from an isolated benchmark of the analysis engine rather than end-to-end orchestrator-driven detonation. Formal end-to</w:t>
      </w:r>
      <w:r w:rsidR="006052FB">
        <w:rPr>
          <w:rFonts w:ascii="Times New Roman" w:hAnsi="Times New Roman"/>
          <w:sz w:val="18"/>
        </w:rPr>
        <w:t>-</w:t>
      </w:r>
      <w:r>
        <w:rPr>
          <w:rFonts w:ascii="Times New Roman" w:hAnsi="Times New Roman"/>
          <w:sz w:val="18"/>
        </w:rPr>
        <w:t>end evaluation across diverse malware families is future work.</w:t>
      </w:r>
    </w:p>
    <w:p w14:paraId="36BBDB9B" w14:textId="77777777" w:rsidR="005340D8" w:rsidRDefault="00226A79">
      <w:pPr>
        <w:spacing w:after="232" w:line="266" w:lineRule="auto"/>
        <w:ind w:left="-5" w:right="38"/>
        <w:jc w:val="both"/>
      </w:pPr>
      <w:r>
        <w:rPr>
          <w:rFonts w:ascii="Times New Roman" w:hAnsi="Times New Roman"/>
          <w:sz w:val="18"/>
        </w:rPr>
        <w:t>Reproducibility and Open Science: source code for the orchestrator, telemetry agent, GenAI interpretation service, dashboard, and synthetic benchmark dataset are available for review at an anonymised repository: https://anonymous.4open.science/r/ransomware-detection-8432. The repository will be de-anonymised upon acceptance, subject to the venue's review policy.</w:t>
      </w:r>
    </w:p>
    <w:p w14:paraId="5FE49FED" w14:textId="77777777" w:rsidR="005340D8" w:rsidRDefault="00226A79">
      <w:pPr>
        <w:pStyle w:val="Heading1"/>
        <w:keepNext/>
        <w:spacing w:after="127"/>
        <w:ind w:right="54"/>
      </w:pPr>
      <w:r>
        <w:rPr>
          <w:rFonts w:ascii="Times New Roman" w:hAnsi="Times New Roman"/>
          <w:b/>
          <w:sz w:val="20"/>
        </w:rPr>
        <w:t>VI. ALGORITHMIC PIPELINE</w:t>
      </w:r>
    </w:p>
    <w:p w14:paraId="60D82009" w14:textId="77777777" w:rsidR="005340D8" w:rsidRDefault="00226A79">
      <w:pPr>
        <w:pStyle w:val="Heading2"/>
        <w:keepNext/>
        <w:ind w:left="-5"/>
      </w:pPr>
      <w:r>
        <w:rPr>
          <w:rFonts w:ascii="Times New Roman" w:hAnsi="Times New Roman"/>
          <w:i/>
          <w:sz w:val="18"/>
        </w:rPr>
        <w:t>Algorithm 1 — Heuristic Detection and Protected Telemetry</w:t>
      </w:r>
    </w:p>
    <w:p w14:paraId="5E51EA69" w14:textId="77777777" w:rsidR="005340D8" w:rsidRDefault="00226A79">
      <w:pPr>
        <w:spacing w:after="126" w:line="266" w:lineRule="auto"/>
        <w:ind w:left="-5" w:right="38"/>
        <w:jc w:val="both"/>
      </w:pPr>
      <w:r>
        <w:rPr>
          <w:rFonts w:ascii="Times New Roman" w:hAnsi="Times New Roman"/>
          <w:sz w:val="18"/>
        </w:rPr>
        <w:t>Require: Process monitor, file-system monitor, AES-GCM key K</w:t>
      </w:r>
    </w:p>
    <w:p w14:paraId="079AA2A1" w14:textId="77777777" w:rsidR="005340D8" w:rsidRDefault="00226A79">
      <w:pPr>
        <w:spacing w:after="152" w:line="266" w:lineRule="auto"/>
        <w:ind w:left="-5" w:right="38"/>
        <w:jc w:val="both"/>
      </w:pPr>
      <w:r>
        <w:rPr>
          <w:rFonts w:ascii="Times New Roman" w:hAnsi="Times New Roman"/>
          <w:sz w:val="18"/>
        </w:rPr>
        <w:t>1: ThreatScore←</w:t>
      </w:r>
      <w:proofErr w:type="gramStart"/>
      <w:r>
        <w:rPr>
          <w:rFonts w:ascii="Times New Roman" w:hAnsi="Times New Roman"/>
          <w:sz w:val="18"/>
        </w:rPr>
        <w:t>0  2</w:t>
      </w:r>
      <w:proofErr w:type="gramEnd"/>
      <w:r>
        <w:rPr>
          <w:rFonts w:ascii="Times New Roman" w:hAnsi="Times New Roman"/>
          <w:sz w:val="18"/>
        </w:rPr>
        <w:t xml:space="preserve">: while process P is </w:t>
      </w:r>
      <w:proofErr w:type="gramStart"/>
      <w:r>
        <w:rPr>
          <w:rFonts w:ascii="Times New Roman" w:hAnsi="Times New Roman"/>
          <w:sz w:val="18"/>
        </w:rPr>
        <w:t>active  3</w:t>
      </w:r>
      <w:proofErr w:type="gramEnd"/>
      <w:r>
        <w:rPr>
          <w:rFonts w:ascii="Times New Roman" w:hAnsi="Times New Roman"/>
          <w:sz w:val="18"/>
        </w:rPr>
        <w:t>: obtain next event 4: if MassFileRename: +</w:t>
      </w:r>
      <w:proofErr w:type="gramStart"/>
      <w:r>
        <w:rPr>
          <w:rFonts w:ascii="Times New Roman" w:hAnsi="Times New Roman"/>
          <w:sz w:val="18"/>
        </w:rPr>
        <w:t>40  5</w:t>
      </w:r>
      <w:proofErr w:type="gramEnd"/>
      <w:r>
        <w:rPr>
          <w:rFonts w:ascii="Times New Roman" w:hAnsi="Times New Roman"/>
          <w:sz w:val="18"/>
        </w:rPr>
        <w:t>: if CryptoAPICall: +</w:t>
      </w:r>
      <w:proofErr w:type="gramStart"/>
      <w:r>
        <w:rPr>
          <w:rFonts w:ascii="Times New Roman" w:hAnsi="Times New Roman"/>
          <w:sz w:val="18"/>
        </w:rPr>
        <w:t>30  6</w:t>
      </w:r>
      <w:proofErr w:type="gramEnd"/>
      <w:r>
        <w:rPr>
          <w:rFonts w:ascii="Times New Roman" w:hAnsi="Times New Roman"/>
          <w:sz w:val="18"/>
        </w:rPr>
        <w:t>: if VssadminDeleteShadow: +</w:t>
      </w:r>
      <w:proofErr w:type="gramStart"/>
      <w:r>
        <w:rPr>
          <w:rFonts w:ascii="Times New Roman" w:hAnsi="Times New Roman"/>
          <w:sz w:val="18"/>
        </w:rPr>
        <w:t>50  7</w:t>
      </w:r>
      <w:proofErr w:type="gramEnd"/>
      <w:r>
        <w:rPr>
          <w:rFonts w:ascii="Times New Roman" w:hAnsi="Times New Roman"/>
          <w:sz w:val="18"/>
        </w:rPr>
        <w:t xml:space="preserve">: log record; encrypt (AES-GCM); </w:t>
      </w:r>
      <w:proofErr w:type="gramStart"/>
      <w:r>
        <w:rPr>
          <w:rFonts w:ascii="Times New Roman" w:hAnsi="Times New Roman"/>
          <w:sz w:val="18"/>
        </w:rPr>
        <w:t>transmit  8</w:t>
      </w:r>
      <w:proofErr w:type="gramEnd"/>
      <w:r>
        <w:rPr>
          <w:rFonts w:ascii="Times New Roman" w:hAnsi="Times New Roman"/>
          <w:sz w:val="18"/>
        </w:rPr>
        <w:t xml:space="preserve">: if ThreatScore&gt;80: flag &amp; </w:t>
      </w:r>
      <w:proofErr w:type="gramStart"/>
      <w:r>
        <w:rPr>
          <w:rFonts w:ascii="Times New Roman" w:hAnsi="Times New Roman"/>
          <w:sz w:val="18"/>
        </w:rPr>
        <w:t>suspend  9</w:t>
      </w:r>
      <w:proofErr w:type="gramEnd"/>
      <w:r>
        <w:rPr>
          <w:rFonts w:ascii="Times New Roman" w:hAnsi="Times New Roman"/>
          <w:sz w:val="18"/>
        </w:rPr>
        <w:t>: end while</w:t>
      </w:r>
    </w:p>
    <w:p w14:paraId="525D9DDB" w14:textId="77777777" w:rsidR="005340D8" w:rsidRDefault="00226A79">
      <w:pPr>
        <w:pStyle w:val="Heading2"/>
        <w:keepNext/>
        <w:ind w:left="-5"/>
      </w:pPr>
      <w:r>
        <w:rPr>
          <w:rFonts w:ascii="Times New Roman" w:hAnsi="Times New Roman"/>
          <w:i/>
          <w:sz w:val="18"/>
        </w:rPr>
        <w:t>Algorithm 2 — GenAI-Assisted Behaviour Interpretation</w:t>
      </w:r>
    </w:p>
    <w:p w14:paraId="6C7DAA34" w14:textId="77777777" w:rsidR="005340D8" w:rsidRDefault="00226A79">
      <w:pPr>
        <w:spacing w:after="126" w:line="266" w:lineRule="auto"/>
        <w:ind w:left="-5" w:right="38"/>
        <w:jc w:val="both"/>
      </w:pPr>
      <w:r>
        <w:rPr>
          <w:rFonts w:ascii="Times New Roman" w:hAnsi="Times New Roman"/>
          <w:sz w:val="18"/>
        </w:rPr>
        <w:t xml:space="preserve">Require: Verified telemetry window X, ATT&amp;CK/RAG index </w:t>
      </w:r>
      <w:proofErr w:type="spellStart"/>
      <w:r>
        <w:rPr>
          <w:rFonts w:ascii="Times New Roman" w:hAnsi="Times New Roman"/>
          <w:sz w:val="18"/>
        </w:rPr>
        <w:t>Kb</w:t>
      </w:r>
      <w:proofErr w:type="spellEnd"/>
      <w:r>
        <w:rPr>
          <w:rFonts w:ascii="Times New Roman" w:hAnsi="Times New Roman"/>
          <w:sz w:val="18"/>
        </w:rPr>
        <w:t>, model M</w:t>
      </w:r>
    </w:p>
    <w:p w14:paraId="2BF79051" w14:textId="77777777" w:rsidR="005340D8" w:rsidRDefault="00226A79">
      <w:pPr>
        <w:spacing w:after="232" w:line="266" w:lineRule="auto"/>
        <w:ind w:left="-5" w:right="38"/>
        <w:jc w:val="both"/>
      </w:pPr>
      <w:r>
        <w:rPr>
          <w:rFonts w:ascii="Times New Roman" w:hAnsi="Times New Roman"/>
          <w:sz w:val="18"/>
        </w:rPr>
        <w:t xml:space="preserve">1: normalise/window </w:t>
      </w:r>
      <w:proofErr w:type="gramStart"/>
      <w:r>
        <w:rPr>
          <w:rFonts w:ascii="Times New Roman" w:hAnsi="Times New Roman"/>
          <w:sz w:val="18"/>
        </w:rPr>
        <w:t>X  2</w:t>
      </w:r>
      <w:proofErr w:type="gramEnd"/>
      <w:r>
        <w:rPr>
          <w:rFonts w:ascii="Times New Roman" w:hAnsi="Times New Roman"/>
          <w:sz w:val="18"/>
        </w:rPr>
        <w:t xml:space="preserve">: build evidence </w:t>
      </w:r>
      <w:proofErr w:type="gramStart"/>
      <w:r>
        <w:rPr>
          <w:rFonts w:ascii="Times New Roman" w:hAnsi="Times New Roman"/>
          <w:sz w:val="18"/>
        </w:rPr>
        <w:t>query  3</w:t>
      </w:r>
      <w:proofErr w:type="gramEnd"/>
      <w:r>
        <w:rPr>
          <w:rFonts w:ascii="Times New Roman" w:hAnsi="Times New Roman"/>
          <w:sz w:val="18"/>
        </w:rPr>
        <w:t xml:space="preserve">: retrieve top-k </w:t>
      </w:r>
      <w:proofErr w:type="gramStart"/>
      <w:r>
        <w:rPr>
          <w:rFonts w:ascii="Times New Roman" w:hAnsi="Times New Roman"/>
          <w:sz w:val="18"/>
        </w:rPr>
        <w:t>passages  4</w:t>
      </w:r>
      <w:proofErr w:type="gramEnd"/>
      <w:r>
        <w:rPr>
          <w:rFonts w:ascii="Times New Roman" w:hAnsi="Times New Roman"/>
          <w:sz w:val="18"/>
        </w:rPr>
        <w:t>: generate Y = L(</w:t>
      </w:r>
      <w:proofErr w:type="gramStart"/>
      <w:r>
        <w:rPr>
          <w:rFonts w:ascii="Times New Roman" w:hAnsi="Times New Roman"/>
          <w:sz w:val="18"/>
        </w:rPr>
        <w:t>X,R</w:t>
      </w:r>
      <w:proofErr w:type="gramEnd"/>
      <w:r>
        <w:rPr>
          <w:rFonts w:ascii="Times New Roman" w:hAnsi="Times New Roman"/>
          <w:sz w:val="18"/>
        </w:rPr>
        <w:t>(X</w:t>
      </w:r>
      <w:proofErr w:type="gramStart"/>
      <w:r>
        <w:rPr>
          <w:rFonts w:ascii="Times New Roman" w:hAnsi="Times New Roman"/>
          <w:sz w:val="18"/>
        </w:rPr>
        <w:t>),π)  5</w:t>
      </w:r>
      <w:proofErr w:type="gramEnd"/>
      <w:r>
        <w:rPr>
          <w:rFonts w:ascii="Times New Roman" w:hAnsi="Times New Roman"/>
          <w:sz w:val="18"/>
        </w:rPr>
        <w:t xml:space="preserve">: validate </w:t>
      </w:r>
      <w:proofErr w:type="gramStart"/>
      <w:r>
        <w:rPr>
          <w:rFonts w:ascii="Times New Roman" w:hAnsi="Times New Roman"/>
          <w:sz w:val="18"/>
        </w:rPr>
        <w:t>Y  6</w:t>
      </w:r>
      <w:proofErr w:type="gramEnd"/>
      <w:r>
        <w:rPr>
          <w:rFonts w:ascii="Times New Roman" w:hAnsi="Times New Roman"/>
          <w:sz w:val="18"/>
        </w:rPr>
        <w:t xml:space="preserve">: if invalid: mark </w:t>
      </w:r>
      <w:proofErr w:type="gramStart"/>
      <w:r>
        <w:rPr>
          <w:rFonts w:ascii="Times New Roman" w:hAnsi="Times New Roman"/>
          <w:sz w:val="18"/>
        </w:rPr>
        <w:t>Unverified  7</w:t>
      </w:r>
      <w:proofErr w:type="gramEnd"/>
      <w:r>
        <w:rPr>
          <w:rFonts w:ascii="Times New Roman" w:hAnsi="Times New Roman"/>
          <w:sz w:val="18"/>
        </w:rPr>
        <w:t xml:space="preserve">: else store classification, techniques, confidence, </w:t>
      </w:r>
      <w:proofErr w:type="gramStart"/>
      <w:r>
        <w:rPr>
          <w:rFonts w:ascii="Times New Roman" w:hAnsi="Times New Roman"/>
          <w:sz w:val="18"/>
        </w:rPr>
        <w:t>explanation  8</w:t>
      </w:r>
      <w:proofErr w:type="gramEnd"/>
      <w:r>
        <w:rPr>
          <w:rFonts w:ascii="Times New Roman" w:hAnsi="Times New Roman"/>
          <w:sz w:val="18"/>
        </w:rPr>
        <w:t>: return Y (no execution privileges to M)</w:t>
      </w:r>
    </w:p>
    <w:p w14:paraId="53683DFB" w14:textId="77777777" w:rsidR="005340D8" w:rsidRDefault="00226A79">
      <w:pPr>
        <w:pStyle w:val="Heading1"/>
        <w:keepNext/>
        <w:spacing w:after="127"/>
        <w:ind w:right="53"/>
      </w:pPr>
      <w:r>
        <w:rPr>
          <w:rFonts w:ascii="Times New Roman" w:hAnsi="Times New Roman"/>
          <w:b/>
          <w:sz w:val="20"/>
        </w:rPr>
        <w:t>VII. EXPERIMENTAL DESIGN</w:t>
      </w:r>
    </w:p>
    <w:p w14:paraId="611E95C1" w14:textId="77777777" w:rsidR="005340D8" w:rsidRDefault="00226A79">
      <w:pPr>
        <w:pStyle w:val="Heading2"/>
        <w:keepNext/>
        <w:ind w:left="-5"/>
      </w:pPr>
      <w:r>
        <w:rPr>
          <w:rFonts w:ascii="Times New Roman" w:hAnsi="Times New Roman"/>
          <w:i/>
          <w:sz w:val="18"/>
        </w:rPr>
        <w:t>A. Laboratory Safety and Reproducibility</w:t>
      </w:r>
    </w:p>
    <w:p w14:paraId="6D640991" w14:textId="77777777" w:rsidR="005340D8" w:rsidRDefault="00226A79">
      <w:pPr>
        <w:ind w:left="-5" w:right="44"/>
        <w:jc w:val="both"/>
      </w:pPr>
      <w:r>
        <w:rPr>
          <w:rFonts w:ascii="Times New Roman" w:hAnsi="Times New Roman"/>
          <w:sz w:val="18"/>
        </w:rPr>
        <w:t>All live ransomware experimentation must be conducted in an authorised, isolated laboratory with no unrestricted Internet access. C2 traffic should be sinkholed, and snapshots restored between runs. Where telemetry contains sensitive material, a local model is preferable to a hosted service — satisfied here via locally hosted Qwen2 0.5B (Ollama).</w:t>
      </w:r>
    </w:p>
    <w:p w14:paraId="31CFF491" w14:textId="77777777" w:rsidR="005340D8" w:rsidRDefault="00226A79">
      <w:pPr>
        <w:pStyle w:val="Heading2"/>
        <w:keepNext/>
        <w:ind w:left="-5"/>
      </w:pPr>
      <w:r>
        <w:rPr>
          <w:rFonts w:ascii="Times New Roman" w:hAnsi="Times New Roman"/>
          <w:i/>
          <w:sz w:val="18"/>
        </w:rPr>
        <w:t>B. Experimental Groups</w:t>
      </w:r>
    </w:p>
    <w:p w14:paraId="11E61FF1" w14:textId="77777777" w:rsidR="005340D8" w:rsidRDefault="00226A79">
      <w:pPr>
        <w:ind w:left="-5" w:right="44"/>
        <w:jc w:val="both"/>
      </w:pPr>
      <w:r>
        <w:rPr>
          <w:rFonts w:ascii="Times New Roman" w:hAnsi="Times New Roman"/>
          <w:sz w:val="18"/>
        </w:rPr>
        <w:t>Table II (below) summarises the five planned ablation arms. Only the Heuristic-vs-GenAI arm is empirically evaluated in this manuscript, via the isolated benchmark in Section VIII; the remaining arms require the orchestrator (Section V-F) and are future work.</w:t>
      </w:r>
      <w:r>
        <w:rPr>
          <w:rFonts w:ascii="Times New Roman" w:hAnsi="Times New Roman"/>
          <w:sz w:val="18"/>
        </w:rPr>
        <w:br w:type="page"/>
      </w:r>
    </w:p>
    <w:tbl>
      <w:tblPr>
        <w:tblStyle w:val="TableGrid"/>
        <w:tblpPr w:vertAnchor="text" w:horzAnchor="margin"/>
        <w:tblOverlap w:val="never"/>
        <w:tblW w:w="11200" w:type="dxa"/>
        <w:jc w:val="center"/>
        <w:tblInd w:w="0" w:type="dxa"/>
        <w:tblLayout w:type="autofi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10"/>
      </w:tblGrid>
      <w:tr w:rsidR="005340D8" w14:paraId="5977BA1D" w14:textId="77777777">
        <w:trPr>
          <w:trHeight w:val="177"/>
        </w:trPr>
        <w:tc>
          <w:tcPr>
            <w:tcW w:w="2958" w:type="dxa"/>
            <w:tcBorders>
              <w:top w:val="nil"/>
              <w:left w:val="nil"/>
              <w:bottom w:val="nil"/>
              <w:right w:val="nil"/>
            </w:tcBorders>
            <w:vAlign w:val="center"/>
          </w:tcPr>
          <w:p w14:paraId="44641C0B" w14:textId="77777777" w:rsidR="005340D8" w:rsidRDefault="00226A79">
            <w:pPr>
              <w:spacing w:after="0" w:line="259" w:lineRule="auto"/>
              <w:ind w:left="4122" w:firstLine="0"/>
              <w:jc w:val="center"/>
            </w:pPr>
            <w:r>
              <w:rPr>
                <w:rFonts w:ascii="Times New Roman" w:hAnsi="Times New Roman"/>
                <w:b/>
                <w:sz w:val="16"/>
              </w:rPr>
              <w:lastRenderedPageBreak/>
              <w:t>TABLE II — EXPERIMENTAL GROUPS</w:t>
            </w:r>
          </w:p>
          <w:tbl>
            <w:tblPr>
              <w:tblStyle w:val="TableGrid"/>
              <w:tblW w:w="11200" w:type="dxa"/>
              <w:tblInd w:w="0" w:type="dxa"/>
              <w:tblCellMar>
                <w:top w:w="12" w:type="dxa"/>
                <w:left w:w="124" w:type="dxa"/>
                <w:right w:w="115" w:type="dxa"/>
              </w:tblCellMar>
              <w:tblLook w:val="04A0" w:firstRow="1" w:lastRow="0" w:firstColumn="1" w:lastColumn="0" w:noHBand="0" w:noVBand="1"/>
            </w:tblPr>
            <w:tblGrid>
              <w:gridCol w:w="2200"/>
              <w:gridCol w:w="2200"/>
              <w:gridCol w:w="2400"/>
              <w:gridCol w:w="4400"/>
            </w:tblGrid>
            <w:tr w:rsidR="005340D8" w14:paraId="53379A79" w14:textId="77777777">
              <w:trPr>
                <w:trHeight w:val="194"/>
              </w:trPr>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4F94B460" w14:textId="77777777" w:rsidR="005340D8" w:rsidRDefault="00226A79" w:rsidP="002B62FF">
                  <w:pPr>
                    <w:framePr w:wrap="around" w:vAnchor="text" w:hAnchor="margin"/>
                    <w:spacing w:after="0" w:line="259" w:lineRule="auto"/>
                    <w:ind w:left="0" w:right="7" w:firstLine="0"/>
                    <w:suppressOverlap/>
                    <w:jc w:val="center"/>
                  </w:pPr>
                  <w:r>
                    <w:rPr>
                      <w:b/>
                      <w:sz w:val="16"/>
                    </w:rPr>
                    <w:t>Experiment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16D8B3AC" w14:textId="77777777" w:rsidR="005340D8" w:rsidRDefault="00226A79" w:rsidP="002B62FF">
                  <w:pPr>
                    <w:framePr w:wrap="around" w:vAnchor="text" w:hAnchor="margin"/>
                    <w:spacing w:after="0" w:line="259" w:lineRule="auto"/>
                    <w:ind w:left="0" w:right="7" w:firstLine="0"/>
                    <w:suppressOverlap/>
                    <w:jc w:val="center"/>
                  </w:pPr>
                  <w:r>
                    <w:rPr>
                      <w:b/>
                      <w:sz w:val="16"/>
                    </w:rPr>
                    <w:t>Baseline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12719D70" w14:textId="77777777" w:rsidR="005340D8" w:rsidRDefault="00226A79" w:rsidP="002B62FF">
                  <w:pPr>
                    <w:framePr w:wrap="around" w:vAnchor="text" w:hAnchor="margin"/>
                    <w:spacing w:after="0" w:line="259" w:lineRule="auto"/>
                    <w:ind w:left="0" w:right="6" w:firstLine="0"/>
                    <w:suppressOverlap/>
                    <w:jc w:val="center"/>
                  </w:pPr>
                  <w:r>
                    <w:rPr>
                      <w:b/>
                      <w:sz w:val="16"/>
                    </w:rPr>
                    <w:t>Proposed condition</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cPr>
                <w:p w14:paraId="2BB17DE6" w14:textId="77777777" w:rsidR="005340D8" w:rsidRDefault="00226A79" w:rsidP="002B62FF">
                  <w:pPr>
                    <w:framePr w:wrap="around" w:vAnchor="text" w:hAnchor="margin"/>
                    <w:spacing w:after="0" w:line="259" w:lineRule="auto"/>
                    <w:ind w:left="0" w:right="6" w:firstLine="0"/>
                    <w:suppressOverlap/>
                    <w:jc w:val="center"/>
                  </w:pPr>
                  <w:r>
                    <w:rPr>
                      <w:b/>
                      <w:sz w:val="16"/>
                    </w:rPr>
                    <w:t>Primary measurements</w:t>
                  </w:r>
                </w:p>
              </w:tc>
            </w:tr>
            <w:tr w:rsidR="005340D8" w14:paraId="30505A5E" w14:textId="77777777">
              <w:trPr>
                <w:trHeight w:val="380"/>
              </w:trPr>
              <w:tc>
                <w:tcPr>
                  <w:tcW w:w="2200" w:type="dxa"/>
                  <w:tcBorders>
                    <w:top w:val="single" w:sz="4" w:space="0" w:color="000000"/>
                    <w:left w:val="single" w:sz="4" w:space="0" w:color="000000"/>
                    <w:bottom w:val="single" w:sz="4" w:space="0" w:color="000000"/>
                    <w:right w:val="single" w:sz="4" w:space="0" w:color="000000"/>
                  </w:tcBorders>
                </w:tcPr>
                <w:p w14:paraId="172DFD75" w14:textId="77777777" w:rsidR="005340D8" w:rsidRDefault="00226A79" w:rsidP="002B62FF">
                  <w:pPr>
                    <w:framePr w:wrap="around" w:vAnchor="text" w:hAnchor="margin"/>
                    <w:spacing w:after="0" w:line="259" w:lineRule="auto"/>
                    <w:ind w:left="0" w:right="6" w:firstLine="0"/>
                    <w:suppressOverlap/>
                    <w:jc w:val="center"/>
                  </w:pPr>
                  <w:r>
                    <w:rPr>
                      <w:sz w:val="16"/>
                    </w:rPr>
                    <w:t>Passive vs active</w:t>
                  </w:r>
                </w:p>
              </w:tc>
              <w:tc>
                <w:tcPr>
                  <w:tcW w:w="2200" w:type="dxa"/>
                  <w:tcBorders>
                    <w:top w:val="single" w:sz="4" w:space="0" w:color="000000"/>
                    <w:left w:val="single" w:sz="4" w:space="0" w:color="000000"/>
                    <w:bottom w:val="single" w:sz="4" w:space="0" w:color="000000"/>
                    <w:right w:val="single" w:sz="4" w:space="0" w:color="000000"/>
                  </w:tcBorders>
                </w:tcPr>
                <w:p w14:paraId="5A6141C0" w14:textId="77777777" w:rsidR="005340D8" w:rsidRDefault="00226A79" w:rsidP="002B62FF">
                  <w:pPr>
                    <w:framePr w:wrap="around" w:vAnchor="text" w:hAnchor="margin"/>
                    <w:spacing w:after="0" w:line="259" w:lineRule="auto"/>
                    <w:ind w:left="0" w:right="6" w:firstLine="0"/>
                    <w:suppressOverlap/>
                    <w:jc w:val="center"/>
                  </w:pPr>
                  <w:r>
                    <w:rPr>
                      <w:sz w:val="16"/>
                    </w:rPr>
                    <w:t>Passive sandbox</w:t>
                  </w:r>
                </w:p>
              </w:tc>
              <w:tc>
                <w:tcPr>
                  <w:tcW w:w="2400" w:type="dxa"/>
                  <w:tcBorders>
                    <w:top w:val="single" w:sz="4" w:space="0" w:color="000000"/>
                    <w:left w:val="single" w:sz="4" w:space="0" w:color="000000"/>
                    <w:bottom w:val="single" w:sz="4" w:space="0" w:color="000000"/>
                    <w:right w:val="single" w:sz="4" w:space="0" w:color="000000"/>
                  </w:tcBorders>
                </w:tcPr>
                <w:p w14:paraId="60245131" w14:textId="77777777" w:rsidR="005340D8" w:rsidRDefault="00226A79" w:rsidP="002B62FF">
                  <w:pPr>
                    <w:framePr w:wrap="around" w:vAnchor="text" w:hAnchor="margin"/>
                    <w:spacing w:after="0" w:line="259" w:lineRule="auto"/>
                    <w:ind w:left="0" w:right="7" w:firstLine="0"/>
                    <w:suppressOverlap/>
                    <w:jc w:val="center"/>
                  </w:pPr>
                  <w:r>
                    <w:rPr>
                      <w:sz w:val="16"/>
                    </w:rPr>
                    <w:t>Simulated vulnerable services</w:t>
                  </w:r>
                </w:p>
              </w:tc>
              <w:tc>
                <w:tcPr>
                  <w:tcW w:w="4400" w:type="dxa"/>
                  <w:tcBorders>
                    <w:top w:val="single" w:sz="4" w:space="0" w:color="000000"/>
                    <w:left w:val="single" w:sz="4" w:space="0" w:color="000000"/>
                    <w:bottom w:val="single" w:sz="4" w:space="0" w:color="000000"/>
                    <w:right w:val="single" w:sz="4" w:space="0" w:color="000000"/>
                  </w:tcBorders>
                </w:tcPr>
                <w:p w14:paraId="6C4BBAF6" w14:textId="77777777" w:rsidR="005340D8" w:rsidRDefault="00226A79" w:rsidP="002B62FF">
                  <w:pPr>
                    <w:framePr w:wrap="around" w:vAnchor="text" w:hAnchor="margin"/>
                    <w:spacing w:after="0" w:line="259" w:lineRule="auto"/>
                    <w:ind w:left="0" w:firstLine="0"/>
                    <w:suppressOverlap/>
                    <w:jc w:val="center"/>
                  </w:pPr>
                  <w:r>
                    <w:rPr>
                      <w:sz w:val="16"/>
                    </w:rPr>
                    <w:t>Behaviour count, diversity, network evidence, ATT&amp;CK coverage</w:t>
                  </w:r>
                </w:p>
              </w:tc>
            </w:tr>
            <w:tr w:rsidR="005340D8" w14:paraId="07F280A6" w14:textId="77777777">
              <w:trPr>
                <w:trHeight w:val="194"/>
              </w:trPr>
              <w:tc>
                <w:tcPr>
                  <w:tcW w:w="2200" w:type="dxa"/>
                  <w:tcBorders>
                    <w:top w:val="single" w:sz="4" w:space="0" w:color="000000"/>
                    <w:left w:val="single" w:sz="4" w:space="0" w:color="000000"/>
                    <w:bottom w:val="single" w:sz="4" w:space="0" w:color="000000"/>
                    <w:right w:val="single" w:sz="4" w:space="0" w:color="000000"/>
                  </w:tcBorders>
                </w:tcPr>
                <w:p w14:paraId="15A78A50" w14:textId="77777777" w:rsidR="005340D8" w:rsidRDefault="00226A79" w:rsidP="002B62FF">
                  <w:pPr>
                    <w:framePr w:wrap="around" w:vAnchor="text" w:hAnchor="margin"/>
                    <w:spacing w:after="0" w:line="259" w:lineRule="auto"/>
                    <w:ind w:left="0" w:right="6" w:firstLine="0"/>
                    <w:suppressOverlap/>
                    <w:jc w:val="center"/>
                  </w:pPr>
                  <w:r>
                    <w:rPr>
                      <w:sz w:val="16"/>
                    </w:rPr>
                    <w:t>Telemetry tampering</w:t>
                  </w:r>
                </w:p>
              </w:tc>
              <w:tc>
                <w:tcPr>
                  <w:tcW w:w="2200" w:type="dxa"/>
                  <w:tcBorders>
                    <w:top w:val="single" w:sz="4" w:space="0" w:color="000000"/>
                    <w:left w:val="single" w:sz="4" w:space="0" w:color="000000"/>
                    <w:bottom w:val="single" w:sz="4" w:space="0" w:color="000000"/>
                    <w:right w:val="single" w:sz="4" w:space="0" w:color="000000"/>
                  </w:tcBorders>
                </w:tcPr>
                <w:p w14:paraId="5771E173" w14:textId="77777777" w:rsidR="005340D8" w:rsidRDefault="00226A79" w:rsidP="002B62FF">
                  <w:pPr>
                    <w:framePr w:wrap="around" w:vAnchor="text" w:hAnchor="margin"/>
                    <w:spacing w:after="0" w:line="259" w:lineRule="auto"/>
                    <w:ind w:left="0" w:right="7" w:firstLine="0"/>
                    <w:suppressOverlap/>
                    <w:jc w:val="center"/>
                  </w:pPr>
                  <w:r>
                    <w:rPr>
                      <w:sz w:val="16"/>
                    </w:rPr>
                    <w:t>Unprotected telemetry</w:t>
                  </w:r>
                </w:p>
              </w:tc>
              <w:tc>
                <w:tcPr>
                  <w:tcW w:w="2400" w:type="dxa"/>
                  <w:tcBorders>
                    <w:top w:val="single" w:sz="4" w:space="0" w:color="000000"/>
                    <w:left w:val="single" w:sz="4" w:space="0" w:color="000000"/>
                    <w:bottom w:val="single" w:sz="4" w:space="0" w:color="000000"/>
                    <w:right w:val="single" w:sz="4" w:space="0" w:color="000000"/>
                  </w:tcBorders>
                </w:tcPr>
                <w:p w14:paraId="46E2D012" w14:textId="77777777" w:rsidR="005340D8" w:rsidRDefault="00226A79" w:rsidP="002B62FF">
                  <w:pPr>
                    <w:framePr w:wrap="around" w:vAnchor="text" w:hAnchor="margin"/>
                    <w:spacing w:after="0" w:line="259" w:lineRule="auto"/>
                    <w:ind w:left="0" w:firstLine="0"/>
                    <w:suppressOverlap/>
                    <w:jc w:val="left"/>
                  </w:pPr>
                  <w:r>
                    <w:rPr>
                      <w:sz w:val="16"/>
                    </w:rPr>
                    <w:t>AES-GCM + out-of-band capture</w:t>
                  </w:r>
                </w:p>
              </w:tc>
              <w:tc>
                <w:tcPr>
                  <w:tcW w:w="4400" w:type="dxa"/>
                  <w:tcBorders>
                    <w:top w:val="single" w:sz="4" w:space="0" w:color="000000"/>
                    <w:left w:val="single" w:sz="4" w:space="0" w:color="000000"/>
                    <w:bottom w:val="single" w:sz="4" w:space="0" w:color="000000"/>
                    <w:right w:val="single" w:sz="4" w:space="0" w:color="000000"/>
                  </w:tcBorders>
                </w:tcPr>
                <w:p w14:paraId="06550D79" w14:textId="77777777" w:rsidR="005340D8" w:rsidRDefault="00226A79" w:rsidP="002B62FF">
                  <w:pPr>
                    <w:framePr w:wrap="around" w:vAnchor="text" w:hAnchor="margin"/>
                    <w:spacing w:after="0" w:line="259" w:lineRule="auto"/>
                    <w:ind w:left="0" w:right="9" w:firstLine="0"/>
                    <w:suppressOverlap/>
                    <w:jc w:val="center"/>
                  </w:pPr>
                  <w:r>
                    <w:rPr>
                      <w:sz w:val="16"/>
                    </w:rPr>
                    <w:t>Accepted/rejected tampering, integrity failures</w:t>
                  </w:r>
                </w:p>
              </w:tc>
            </w:tr>
            <w:tr w:rsidR="005340D8" w14:paraId="3CBBA8DF" w14:textId="77777777">
              <w:trPr>
                <w:trHeight w:val="194"/>
              </w:trPr>
              <w:tc>
                <w:tcPr>
                  <w:tcW w:w="2200" w:type="dxa"/>
                  <w:tcBorders>
                    <w:top w:val="single" w:sz="4" w:space="0" w:color="000000"/>
                    <w:left w:val="single" w:sz="4" w:space="0" w:color="000000"/>
                    <w:bottom w:val="single" w:sz="4" w:space="0" w:color="000000"/>
                    <w:right w:val="single" w:sz="4" w:space="0" w:color="000000"/>
                  </w:tcBorders>
                </w:tcPr>
                <w:p w14:paraId="7D3E21CA" w14:textId="77777777" w:rsidR="005340D8" w:rsidRDefault="00226A79" w:rsidP="002B62FF">
                  <w:pPr>
                    <w:framePr w:wrap="around" w:vAnchor="text" w:hAnchor="margin"/>
                    <w:spacing w:after="0" w:line="259" w:lineRule="auto"/>
                    <w:ind w:left="0" w:right="6" w:firstLine="0"/>
                    <w:suppressOverlap/>
                    <w:jc w:val="center"/>
                  </w:pPr>
                  <w:r>
                    <w:rPr>
                      <w:sz w:val="16"/>
                    </w:rPr>
                    <w:t>Heuristic vs GenAI</w:t>
                  </w:r>
                </w:p>
              </w:tc>
              <w:tc>
                <w:tcPr>
                  <w:tcW w:w="2200" w:type="dxa"/>
                  <w:tcBorders>
                    <w:top w:val="single" w:sz="4" w:space="0" w:color="000000"/>
                    <w:left w:val="single" w:sz="4" w:space="0" w:color="000000"/>
                    <w:bottom w:val="single" w:sz="4" w:space="0" w:color="000000"/>
                    <w:right w:val="single" w:sz="4" w:space="0" w:color="000000"/>
                  </w:tcBorders>
                </w:tcPr>
                <w:p w14:paraId="53A33925" w14:textId="77777777" w:rsidR="005340D8" w:rsidRDefault="00226A79" w:rsidP="002B62FF">
                  <w:pPr>
                    <w:framePr w:wrap="around" w:vAnchor="text" w:hAnchor="margin"/>
                    <w:spacing w:after="0" w:line="259" w:lineRule="auto"/>
                    <w:ind w:left="0" w:right="6" w:firstLine="0"/>
                    <w:suppressOverlap/>
                    <w:jc w:val="center"/>
                  </w:pPr>
                  <w:r>
                    <w:rPr>
                      <w:sz w:val="16"/>
                    </w:rPr>
                    <w:t>Deterministic score</w:t>
                  </w:r>
                </w:p>
              </w:tc>
              <w:tc>
                <w:tcPr>
                  <w:tcW w:w="2400" w:type="dxa"/>
                  <w:tcBorders>
                    <w:top w:val="single" w:sz="4" w:space="0" w:color="000000"/>
                    <w:left w:val="single" w:sz="4" w:space="0" w:color="000000"/>
                    <w:bottom w:val="single" w:sz="4" w:space="0" w:color="000000"/>
                    <w:right w:val="single" w:sz="4" w:space="0" w:color="000000"/>
                  </w:tcBorders>
                </w:tcPr>
                <w:p w14:paraId="37D41689" w14:textId="77777777" w:rsidR="005340D8" w:rsidRDefault="00226A79" w:rsidP="002B62FF">
                  <w:pPr>
                    <w:framePr w:wrap="around" w:vAnchor="text" w:hAnchor="margin"/>
                    <w:spacing w:after="0" w:line="259" w:lineRule="auto"/>
                    <w:ind w:left="0" w:right="5" w:firstLine="0"/>
                    <w:suppressOverlap/>
                    <w:jc w:val="center"/>
                  </w:pPr>
                  <w:r>
                    <w:rPr>
                      <w:sz w:val="16"/>
                    </w:rPr>
                    <w:t>Score + GenAI/RAG</w:t>
                  </w:r>
                </w:p>
              </w:tc>
              <w:tc>
                <w:tcPr>
                  <w:tcW w:w="4400" w:type="dxa"/>
                  <w:tcBorders>
                    <w:top w:val="single" w:sz="4" w:space="0" w:color="000000"/>
                    <w:left w:val="single" w:sz="4" w:space="0" w:color="000000"/>
                    <w:bottom w:val="single" w:sz="4" w:space="0" w:color="000000"/>
                    <w:right w:val="single" w:sz="4" w:space="0" w:color="000000"/>
                  </w:tcBorders>
                </w:tcPr>
                <w:p w14:paraId="5E71544B" w14:textId="77777777" w:rsidR="005340D8" w:rsidRDefault="00226A79" w:rsidP="002B62FF">
                  <w:pPr>
                    <w:framePr w:wrap="around" w:vAnchor="text" w:hAnchor="margin"/>
                    <w:spacing w:after="0" w:line="259" w:lineRule="auto"/>
                    <w:ind w:left="5" w:firstLine="0"/>
                    <w:suppressOverlap/>
                    <w:jc w:val="left"/>
                  </w:pPr>
                  <w:r>
                    <w:rPr>
                      <w:sz w:val="16"/>
                    </w:rPr>
                    <w:t>Agreement, mapping precision, unsupported claims, review time</w:t>
                  </w:r>
                </w:p>
              </w:tc>
            </w:tr>
            <w:tr w:rsidR="005340D8" w14:paraId="6562C728" w14:textId="77777777">
              <w:trPr>
                <w:trHeight w:val="194"/>
              </w:trPr>
              <w:tc>
                <w:tcPr>
                  <w:tcW w:w="2200" w:type="dxa"/>
                  <w:tcBorders>
                    <w:top w:val="single" w:sz="4" w:space="0" w:color="000000"/>
                    <w:left w:val="single" w:sz="4" w:space="0" w:color="000000"/>
                    <w:bottom w:val="single" w:sz="4" w:space="0" w:color="000000"/>
                    <w:right w:val="single" w:sz="4" w:space="0" w:color="000000"/>
                  </w:tcBorders>
                </w:tcPr>
                <w:p w14:paraId="064A54DF" w14:textId="77777777" w:rsidR="005340D8" w:rsidRDefault="00226A79" w:rsidP="002B62FF">
                  <w:pPr>
                    <w:framePr w:wrap="around" w:vAnchor="text" w:hAnchor="margin"/>
                    <w:spacing w:after="0" w:line="259" w:lineRule="auto"/>
                    <w:ind w:left="0" w:right="7" w:firstLine="0"/>
                    <w:suppressOverlap/>
                    <w:jc w:val="center"/>
                  </w:pPr>
                  <w:r>
                    <w:rPr>
                      <w:sz w:val="16"/>
                    </w:rPr>
                    <w:t>Known vs unseen families</w:t>
                  </w:r>
                </w:p>
              </w:tc>
              <w:tc>
                <w:tcPr>
                  <w:tcW w:w="2200" w:type="dxa"/>
                  <w:tcBorders>
                    <w:top w:val="single" w:sz="4" w:space="0" w:color="000000"/>
                    <w:left w:val="single" w:sz="4" w:space="0" w:color="000000"/>
                    <w:bottom w:val="single" w:sz="4" w:space="0" w:color="000000"/>
                    <w:right w:val="single" w:sz="4" w:space="0" w:color="000000"/>
                  </w:tcBorders>
                </w:tcPr>
                <w:p w14:paraId="6CA6AB07" w14:textId="77777777" w:rsidR="005340D8" w:rsidRDefault="00226A79" w:rsidP="002B62FF">
                  <w:pPr>
                    <w:framePr w:wrap="around" w:vAnchor="text" w:hAnchor="margin"/>
                    <w:spacing w:after="0" w:line="259" w:lineRule="auto"/>
                    <w:ind w:left="0" w:right="8" w:firstLine="0"/>
                    <w:suppressOverlap/>
                    <w:jc w:val="center"/>
                  </w:pPr>
                  <w:r>
                    <w:rPr>
                      <w:sz w:val="16"/>
                    </w:rPr>
                    <w:t>Known development families</w:t>
                  </w:r>
                </w:p>
              </w:tc>
              <w:tc>
                <w:tcPr>
                  <w:tcW w:w="2400" w:type="dxa"/>
                  <w:tcBorders>
                    <w:top w:val="single" w:sz="4" w:space="0" w:color="000000"/>
                    <w:left w:val="single" w:sz="4" w:space="0" w:color="000000"/>
                    <w:bottom w:val="single" w:sz="4" w:space="0" w:color="000000"/>
                    <w:right w:val="single" w:sz="4" w:space="0" w:color="000000"/>
                  </w:tcBorders>
                </w:tcPr>
                <w:p w14:paraId="50FC1857" w14:textId="77777777" w:rsidR="005340D8" w:rsidRDefault="00226A79" w:rsidP="002B62FF">
                  <w:pPr>
                    <w:framePr w:wrap="around" w:vAnchor="text" w:hAnchor="margin"/>
                    <w:spacing w:after="0" w:line="259" w:lineRule="auto"/>
                    <w:ind w:left="0" w:right="6" w:firstLine="0"/>
                    <w:suppressOverlap/>
                    <w:jc w:val="center"/>
                  </w:pPr>
                  <w:r>
                    <w:rPr>
                      <w:sz w:val="16"/>
                    </w:rPr>
                    <w:t>Held-out families</w:t>
                  </w:r>
                </w:p>
              </w:tc>
              <w:tc>
                <w:tcPr>
                  <w:tcW w:w="4400" w:type="dxa"/>
                  <w:tcBorders>
                    <w:top w:val="single" w:sz="4" w:space="0" w:color="000000"/>
                    <w:left w:val="single" w:sz="4" w:space="0" w:color="000000"/>
                    <w:bottom w:val="single" w:sz="4" w:space="0" w:color="000000"/>
                    <w:right w:val="single" w:sz="4" w:space="0" w:color="000000"/>
                  </w:tcBorders>
                </w:tcPr>
                <w:p w14:paraId="723E918D" w14:textId="77777777" w:rsidR="005340D8" w:rsidRDefault="00226A79" w:rsidP="002B62FF">
                  <w:pPr>
                    <w:framePr w:wrap="around" w:vAnchor="text" w:hAnchor="margin"/>
                    <w:spacing w:after="0" w:line="259" w:lineRule="auto"/>
                    <w:ind w:left="0" w:right="9" w:firstLine="0"/>
                    <w:suppressOverlap/>
                    <w:jc w:val="center"/>
                  </w:pPr>
                  <w:r>
                    <w:rPr>
                      <w:sz w:val="16"/>
                    </w:rPr>
                    <w:t>F1, ATT&amp;CK mapping, explanation reliability</w:t>
                  </w:r>
                </w:p>
              </w:tc>
            </w:tr>
            <w:tr w:rsidR="005340D8" w14:paraId="630570BA" w14:textId="77777777">
              <w:trPr>
                <w:trHeight w:val="194"/>
              </w:trPr>
              <w:tc>
                <w:tcPr>
                  <w:tcW w:w="2200" w:type="dxa"/>
                  <w:tcBorders>
                    <w:top w:val="single" w:sz="4" w:space="0" w:color="000000"/>
                    <w:left w:val="single" w:sz="4" w:space="0" w:color="000000"/>
                    <w:bottom w:val="single" w:sz="4" w:space="0" w:color="000000"/>
                    <w:right w:val="single" w:sz="4" w:space="0" w:color="000000"/>
                  </w:tcBorders>
                </w:tcPr>
                <w:p w14:paraId="197F29F7" w14:textId="77777777" w:rsidR="005340D8" w:rsidRDefault="00226A79" w:rsidP="002B62FF">
                  <w:pPr>
                    <w:framePr w:wrap="around" w:vAnchor="text" w:hAnchor="margin"/>
                    <w:spacing w:after="0" w:line="259" w:lineRule="auto"/>
                    <w:ind w:left="0" w:right="6" w:firstLine="0"/>
                    <w:suppressOverlap/>
                    <w:jc w:val="center"/>
                  </w:pPr>
                  <w:r>
                    <w:rPr>
                      <w:sz w:val="16"/>
                    </w:rPr>
                    <w:t>Performance overhead</w:t>
                  </w:r>
                </w:p>
              </w:tc>
              <w:tc>
                <w:tcPr>
                  <w:tcW w:w="2200" w:type="dxa"/>
                  <w:tcBorders>
                    <w:top w:val="single" w:sz="4" w:space="0" w:color="000000"/>
                    <w:left w:val="single" w:sz="4" w:space="0" w:color="000000"/>
                    <w:bottom w:val="single" w:sz="4" w:space="0" w:color="000000"/>
                    <w:right w:val="single" w:sz="4" w:space="0" w:color="000000"/>
                  </w:tcBorders>
                </w:tcPr>
                <w:p w14:paraId="3E79B9CE" w14:textId="77777777" w:rsidR="005340D8" w:rsidRDefault="00226A79" w:rsidP="002B62FF">
                  <w:pPr>
                    <w:framePr w:wrap="around" w:vAnchor="text" w:hAnchor="margin"/>
                    <w:spacing w:after="0" w:line="259" w:lineRule="auto"/>
                    <w:ind w:left="0" w:right="8" w:firstLine="0"/>
                    <w:suppressOverlap/>
                    <w:jc w:val="center"/>
                  </w:pPr>
                  <w:r>
                    <w:rPr>
                      <w:sz w:val="16"/>
                    </w:rPr>
                    <w:t>Collection baseline</w:t>
                  </w:r>
                </w:p>
              </w:tc>
              <w:tc>
                <w:tcPr>
                  <w:tcW w:w="2400" w:type="dxa"/>
                  <w:tcBorders>
                    <w:top w:val="single" w:sz="4" w:space="0" w:color="000000"/>
                    <w:left w:val="single" w:sz="4" w:space="0" w:color="000000"/>
                    <w:bottom w:val="single" w:sz="4" w:space="0" w:color="000000"/>
                    <w:right w:val="single" w:sz="4" w:space="0" w:color="000000"/>
                  </w:tcBorders>
                </w:tcPr>
                <w:p w14:paraId="5ED9DBD7" w14:textId="77777777" w:rsidR="005340D8" w:rsidRDefault="00226A79" w:rsidP="002B62FF">
                  <w:pPr>
                    <w:framePr w:wrap="around" w:vAnchor="text" w:hAnchor="margin"/>
                    <w:spacing w:after="0" w:line="259" w:lineRule="auto"/>
                    <w:ind w:left="0" w:right="6" w:firstLine="0"/>
                    <w:suppressOverlap/>
                    <w:jc w:val="center"/>
                  </w:pPr>
                  <w:r>
                    <w:rPr>
                      <w:sz w:val="16"/>
                    </w:rPr>
                    <w:t>Full protected hybrid pipeline</w:t>
                  </w:r>
                </w:p>
              </w:tc>
              <w:tc>
                <w:tcPr>
                  <w:tcW w:w="4400" w:type="dxa"/>
                  <w:tcBorders>
                    <w:top w:val="single" w:sz="4" w:space="0" w:color="000000"/>
                    <w:left w:val="single" w:sz="4" w:space="0" w:color="000000"/>
                    <w:bottom w:val="single" w:sz="4" w:space="0" w:color="000000"/>
                    <w:right w:val="single" w:sz="4" w:space="0" w:color="000000"/>
                  </w:tcBorders>
                </w:tcPr>
                <w:p w14:paraId="66D3B64C" w14:textId="77777777" w:rsidR="005340D8" w:rsidRDefault="00226A79" w:rsidP="002B62FF">
                  <w:pPr>
                    <w:framePr w:wrap="around" w:vAnchor="text" w:hAnchor="margin"/>
                    <w:spacing w:after="0" w:line="259" w:lineRule="auto"/>
                    <w:ind w:left="0" w:right="8" w:firstLine="0"/>
                    <w:suppressOverlap/>
                    <w:jc w:val="center"/>
                  </w:pPr>
                  <w:r>
                    <w:rPr>
                      <w:sz w:val="16"/>
                    </w:rPr>
                    <w:t>CPU, memory, bandwidth, encryption and inference latency</w:t>
                  </w:r>
                </w:p>
              </w:tc>
            </w:tr>
          </w:tbl>
          <w:p w14:paraId="62C277B8" w14:textId="77777777" w:rsidR="005340D8" w:rsidRDefault="005340D8">
            <w:pPr>
              <w:spacing w:after="0" w:line="259" w:lineRule="auto"/>
              <w:ind w:left="0" w:firstLine="0"/>
              <w:jc w:val="center"/>
            </w:pPr>
          </w:p>
        </w:tc>
      </w:tr>
    </w:tbl>
    <w:p w14:paraId="612BD66E" w14:textId="77777777" w:rsidR="005340D8" w:rsidRDefault="00226A79">
      <w:pPr>
        <w:pStyle w:val="Heading2"/>
        <w:keepNext/>
        <w:ind w:left="-5"/>
      </w:pPr>
      <w:r>
        <w:rPr>
          <w:rFonts w:ascii="Times New Roman" w:hAnsi="Times New Roman"/>
          <w:i/>
          <w:sz w:val="18"/>
        </w:rPr>
        <w:t>C. Dataset Protocol</w:t>
      </w:r>
    </w:p>
    <w:p w14:paraId="69CE2961" w14:textId="16F9C3C7" w:rsidR="005340D8" w:rsidRDefault="00226A79">
      <w:pPr>
        <w:ind w:left="-5" w:right="44"/>
        <w:jc w:val="both"/>
      </w:pPr>
      <w:r>
        <w:rPr>
          <w:rFonts w:ascii="Times New Roman" w:hAnsi="Times New Roman"/>
          <w:sz w:val="18"/>
        </w:rPr>
        <w:t>Two distinct datasets are used and should not be conflated. First, a live-sample corpus for full orchestrator-driven detonation: the original design proposed 50 ransomware samples; exact count, family distribution, OS version, snapshot configuration and inclusion/exclusion criteria must be reported once detonation runs are conducted, split into development/evaluation groups to avoid memorisation. Second, a synthetic benchmark of 100 traces (50 benign, 50 malicious) used in the present study to isolate the analysis engine (Section VIII-A). No numerical claim about the live</w:t>
      </w:r>
      <w:r w:rsidR="006052FB">
        <w:rPr>
          <w:rFonts w:ascii="Times New Roman" w:hAnsi="Times New Roman"/>
          <w:sz w:val="18"/>
        </w:rPr>
        <w:t>-</w:t>
      </w:r>
      <w:r>
        <w:rPr>
          <w:rFonts w:ascii="Times New Roman" w:hAnsi="Times New Roman"/>
          <w:sz w:val="18"/>
        </w:rPr>
        <w:t>sample corpus is made beyond its planned design.</w:t>
      </w:r>
    </w:p>
    <w:p w14:paraId="25164BE7" w14:textId="77777777" w:rsidR="005340D8" w:rsidRDefault="00226A79">
      <w:pPr>
        <w:pStyle w:val="Heading2"/>
        <w:keepNext/>
        <w:ind w:left="-5"/>
      </w:pPr>
      <w:r>
        <w:rPr>
          <w:rFonts w:ascii="Times New Roman" w:hAnsi="Times New Roman"/>
          <w:i/>
          <w:sz w:val="18"/>
        </w:rPr>
        <w:t>D. Evaluation Metrics</w:t>
      </w:r>
    </w:p>
    <w:p w14:paraId="636A9257" w14:textId="77777777" w:rsidR="005340D8" w:rsidRDefault="00226A79">
      <w:pPr>
        <w:ind w:left="-5" w:right="44"/>
        <w:jc w:val="both"/>
      </w:pPr>
      <w:r>
        <w:rPr>
          <w:rFonts w:ascii="Times New Roman" w:hAnsi="Times New Roman"/>
          <w:sz w:val="18"/>
        </w:rPr>
        <w:t>Detection performance includes precision, recall and F1. ATT&amp;CK mapping is compared with human-reviewed ground truth. GenAI reliability includes unsupported-claim rate, evidence-link coverage, confidence calibration and analyst review time. System cost includes CPU, memory, bandwidth, encryption, retrieval, inference and end-to-end latency.</w:t>
      </w:r>
    </w:p>
    <w:p w14:paraId="0A7D0101" w14:textId="77777777" w:rsidR="005340D8" w:rsidRDefault="00226A79">
      <w:pPr>
        <w:pStyle w:val="Heading2"/>
        <w:keepNext/>
        <w:ind w:left="-5"/>
      </w:pPr>
      <w:r>
        <w:rPr>
          <w:rFonts w:ascii="Times New Roman" w:hAnsi="Times New Roman"/>
          <w:i/>
          <w:sz w:val="18"/>
        </w:rPr>
        <w:t>E. Statistical Treatment</w:t>
      </w:r>
    </w:p>
    <w:p w14:paraId="789C3E54" w14:textId="77777777" w:rsidR="005340D8" w:rsidRDefault="00226A79">
      <w:pPr>
        <w:ind w:left="-5" w:right="44"/>
        <w:jc w:val="both"/>
      </w:pPr>
      <w:r>
        <w:rPr>
          <w:rFonts w:ascii="Times New Roman" w:hAnsi="Times New Roman"/>
          <w:sz w:val="18"/>
        </w:rPr>
        <w:t>Repeated runs should be used where practical, reporting median and dispersion for latency/resource measurements, with an appropriate paired test where relevant. The results in Section VIII for the 100-trace benchmark are reported as the mean ± standard deviation across n=3 independent runs; a larger trial count would improve the reliability of the variance estimate and is noted as a limitation (Section XI).</w:t>
      </w:r>
    </w:p>
    <w:p w14:paraId="1D101AD9" w14:textId="77777777" w:rsidR="005340D8" w:rsidRDefault="00226A79">
      <w:pPr>
        <w:pStyle w:val="Heading1"/>
        <w:keepNext/>
        <w:spacing w:after="127"/>
        <w:ind w:right="7"/>
      </w:pPr>
      <w:r>
        <w:rPr>
          <w:rFonts w:ascii="Times New Roman" w:hAnsi="Times New Roman"/>
          <w:b/>
          <w:sz w:val="20"/>
        </w:rPr>
        <w:t>VIII. EVALUATION AND DISCUSSION</w:t>
      </w:r>
    </w:p>
    <w:p w14:paraId="0DE2B3E7" w14:textId="77777777" w:rsidR="005340D8" w:rsidRDefault="00226A79">
      <w:pPr>
        <w:pStyle w:val="Heading2"/>
        <w:keepNext/>
        <w:ind w:left="-5"/>
      </w:pPr>
      <w:r>
        <w:rPr>
          <w:rFonts w:ascii="Times New Roman" w:hAnsi="Times New Roman"/>
          <w:i/>
          <w:sz w:val="18"/>
        </w:rPr>
        <w:t>A. Evaluation Scope and Dataset</w:t>
      </w:r>
    </w:p>
    <w:p w14:paraId="4D1C59D1" w14:textId="347C1336" w:rsidR="005340D8" w:rsidRDefault="00226A79">
      <w:pPr>
        <w:spacing w:after="119"/>
        <w:ind w:left="-5" w:right="44"/>
        <w:jc w:val="both"/>
      </w:pPr>
      <w:r>
        <w:rPr>
          <w:rFonts w:ascii="Times New Roman" w:hAnsi="Times New Roman"/>
          <w:sz w:val="18"/>
        </w:rPr>
        <w:t>The results in this section were obtained from an empirical benchmark of the analysis engine — the deterministic scorer and the GenAI/RAG interpretation layer — evaluated in isolation from the full hypervisor-based sandbox (Section V). Synthetic telemetry traces were injected directly into the analysis engine via a mock data store, bypassing hypervisor orchestration, active vulnerability simulation and out-of-band network capture. This isolates the interpretation pipeline from virtualisation-related noise but does not constitute end</w:t>
      </w:r>
      <w:r w:rsidR="006052FB">
        <w:rPr>
          <w:rFonts w:ascii="Times New Roman" w:hAnsi="Times New Roman"/>
          <w:sz w:val="18"/>
        </w:rPr>
        <w:t>-</w:t>
      </w:r>
      <w:r>
        <w:rPr>
          <w:rFonts w:ascii="Times New Roman" w:hAnsi="Times New Roman"/>
          <w:sz w:val="18"/>
        </w:rPr>
        <w:t>to-end validation of Fig. 1; full sandbox-integrated evaluation remains future work (Section XI).</w:t>
      </w:r>
    </w:p>
    <w:tbl>
      <w:tblPr>
        <w:tblStyle w:val="TableGrid"/>
        <w:tblpPr w:vertAnchor="text" w:horzAnchor="margin" w:tblpY="4037"/>
        <w:tblOverlap w:val="never"/>
        <w:tblW w:w="10132" w:type="dxa"/>
        <w:jc w:val="center"/>
        <w:tblInd w:w="0" w:type="dxa"/>
        <w:tblLayout w:type="autofi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32"/>
      </w:tblGrid>
      <w:tr w:rsidR="005340D8" w14:paraId="7F9DB8E6" w14:textId="77777777">
        <w:trPr>
          <w:trHeight w:val="3902"/>
        </w:trPr>
        <w:tc>
          <w:tcPr>
            <w:tcW w:w="10132" w:type="dxa"/>
            <w:tcBorders>
              <w:top w:val="nil"/>
              <w:left w:val="nil"/>
              <w:bottom w:val="nil"/>
              <w:right w:val="nil"/>
            </w:tcBorders>
            <w:vAlign w:val="center"/>
          </w:tcPr>
          <w:p w14:paraId="53AE89E8" w14:textId="77777777" w:rsidR="005340D8" w:rsidRDefault="00226A79">
            <w:pPr>
              <w:spacing w:after="0" w:line="259" w:lineRule="auto"/>
              <w:ind w:left="0" w:right="56" w:firstLine="0"/>
              <w:jc w:val="center"/>
            </w:pPr>
            <w:r>
              <w:rPr>
                <w:rFonts w:ascii="Times New Roman" w:hAnsi="Times New Roman"/>
                <w:b/>
                <w:sz w:val="16"/>
              </w:rPr>
              <w:t>TABLE III — EMPIRICAL RESULTS (ANALYSIS-ENGINE BENCHMARK, N=100 SYNTHETIC TRACES)</w:t>
            </w:r>
          </w:p>
          <w:tbl>
            <w:tblPr>
              <w:tblStyle w:val="TableGrid"/>
              <w:tblW w:w="9200" w:type="dxa"/>
              <w:tblInd w:w="438" w:type="dxa"/>
              <w:tblCellMar>
                <w:top w:w="12" w:type="dxa"/>
                <w:left w:w="115" w:type="dxa"/>
                <w:right w:w="115" w:type="dxa"/>
              </w:tblCellMar>
              <w:tblLook w:val="04A0" w:firstRow="1" w:lastRow="0" w:firstColumn="1" w:lastColumn="0" w:noHBand="0" w:noVBand="1"/>
            </w:tblPr>
            <w:tblGrid>
              <w:gridCol w:w="4200"/>
              <w:gridCol w:w="1700"/>
              <w:gridCol w:w="1700"/>
              <w:gridCol w:w="1600"/>
            </w:tblGrid>
            <w:tr w:rsidR="005340D8" w14:paraId="466CFD0B" w14:textId="77777777">
              <w:trPr>
                <w:trHeight w:val="194"/>
              </w:trPr>
              <w:tc>
                <w:tcPr>
                  <w:tcW w:w="4200" w:type="dxa"/>
                  <w:tcBorders>
                    <w:top w:val="single" w:sz="4" w:space="0" w:color="000000"/>
                    <w:left w:val="single" w:sz="4" w:space="0" w:color="000000"/>
                    <w:bottom w:val="single" w:sz="4" w:space="0" w:color="000000"/>
                    <w:right w:val="single" w:sz="4" w:space="0" w:color="000000"/>
                  </w:tcBorders>
                  <w:shd w:val="clear" w:color="auto" w:fill="D9D9D9"/>
                </w:tcPr>
                <w:p w14:paraId="69ED6118" w14:textId="77777777" w:rsidR="005340D8" w:rsidRDefault="00226A79" w:rsidP="002B62FF">
                  <w:pPr>
                    <w:framePr w:wrap="around" w:vAnchor="text" w:hAnchor="margin" w:y="4037"/>
                    <w:spacing w:after="0" w:line="259" w:lineRule="auto"/>
                    <w:ind w:left="3" w:firstLine="0"/>
                    <w:suppressOverlap/>
                    <w:jc w:val="center"/>
                  </w:pPr>
                  <w:r>
                    <w:rPr>
                      <w:b/>
                      <w:sz w:val="16"/>
                    </w:rPr>
                    <w:t>Metric</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52B2D16D" w14:textId="77777777" w:rsidR="005340D8" w:rsidRDefault="00226A79" w:rsidP="002B62FF">
                  <w:pPr>
                    <w:framePr w:wrap="around" w:vAnchor="text" w:hAnchor="margin" w:y="4037"/>
                    <w:spacing w:after="0" w:line="259" w:lineRule="auto"/>
                    <w:ind w:left="2" w:firstLine="0"/>
                    <w:suppressOverlap/>
                    <w:jc w:val="center"/>
                  </w:pPr>
                  <w:r>
                    <w:rPr>
                      <w:b/>
                      <w:sz w:val="16"/>
                    </w:rPr>
                    <w:t>Passive / Baseline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3119182B" w14:textId="77777777" w:rsidR="005340D8" w:rsidRDefault="00226A79" w:rsidP="002B62FF">
                  <w:pPr>
                    <w:framePr w:wrap="around" w:vAnchor="text" w:hAnchor="margin" w:y="4037"/>
                    <w:spacing w:after="0" w:line="259" w:lineRule="auto"/>
                    <w:ind w:left="4" w:firstLine="0"/>
                    <w:suppressOverlap/>
                    <w:jc w:val="center"/>
                  </w:pPr>
                  <w:r>
                    <w:rPr>
                      <w:b/>
                      <w:sz w:val="16"/>
                    </w:rPr>
                    <w:t>Proposed</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Pr>
                <w:p w14:paraId="2AC0EDBC" w14:textId="77777777" w:rsidR="005340D8" w:rsidRDefault="00226A79" w:rsidP="002B62FF">
                  <w:pPr>
                    <w:framePr w:wrap="around" w:vAnchor="text" w:hAnchor="margin" w:y="4037"/>
                    <w:spacing w:after="0" w:line="259" w:lineRule="auto"/>
                    <w:ind w:left="4" w:firstLine="0"/>
                    <w:suppressOverlap/>
                    <w:jc w:val="center"/>
                  </w:pPr>
                  <w:r>
                    <w:rPr>
                      <w:b/>
                      <w:sz w:val="16"/>
                    </w:rPr>
                    <w:t>Change</w:t>
                  </w:r>
                </w:p>
              </w:tc>
            </w:tr>
            <w:tr w:rsidR="005340D8" w14:paraId="124891FB" w14:textId="77777777">
              <w:trPr>
                <w:trHeight w:val="196"/>
              </w:trPr>
              <w:tc>
                <w:tcPr>
                  <w:tcW w:w="4200" w:type="dxa"/>
                  <w:tcBorders>
                    <w:top w:val="single" w:sz="4" w:space="0" w:color="000000"/>
                    <w:left w:val="single" w:sz="4" w:space="0" w:color="000000"/>
                    <w:bottom w:val="single" w:sz="4" w:space="0" w:color="000000"/>
                    <w:right w:val="single" w:sz="4" w:space="0" w:color="000000"/>
                  </w:tcBorders>
                </w:tcPr>
                <w:p w14:paraId="5E346E3A" w14:textId="77777777" w:rsidR="005340D8" w:rsidRDefault="00226A79" w:rsidP="002B62FF">
                  <w:pPr>
                    <w:framePr w:wrap="around" w:vAnchor="text" w:hAnchor="margin" w:y="4037"/>
                    <w:spacing w:after="0" w:line="259" w:lineRule="auto"/>
                    <w:ind w:left="3" w:firstLine="0"/>
                    <w:suppressOverlap/>
                    <w:jc w:val="center"/>
                  </w:pPr>
                  <w:r>
                    <w:rPr>
                      <w:sz w:val="16"/>
                    </w:rPr>
                    <w:t>Detection precision</w:t>
                  </w:r>
                </w:p>
              </w:tc>
              <w:tc>
                <w:tcPr>
                  <w:tcW w:w="1700" w:type="dxa"/>
                  <w:tcBorders>
                    <w:top w:val="single" w:sz="4" w:space="0" w:color="000000"/>
                    <w:left w:val="single" w:sz="4" w:space="0" w:color="000000"/>
                    <w:bottom w:val="single" w:sz="4" w:space="0" w:color="000000"/>
                    <w:right w:val="single" w:sz="4" w:space="0" w:color="000000"/>
                  </w:tcBorders>
                </w:tcPr>
                <w:p w14:paraId="1C75A21B" w14:textId="77777777" w:rsidR="005340D8" w:rsidRDefault="00226A79" w:rsidP="002B62FF">
                  <w:pPr>
                    <w:framePr w:wrap="around" w:vAnchor="text" w:hAnchor="margin" w:y="4037"/>
                    <w:spacing w:after="0" w:line="259" w:lineRule="auto"/>
                    <w:ind w:left="2" w:firstLine="0"/>
                    <w:suppressOverlap/>
                    <w:jc w:val="center"/>
                  </w:pPr>
                  <w:r>
                    <w:rPr>
                      <w:sz w:val="16"/>
                    </w:rPr>
                    <w:t>1.00</w:t>
                  </w:r>
                </w:p>
              </w:tc>
              <w:tc>
                <w:tcPr>
                  <w:tcW w:w="1700" w:type="dxa"/>
                  <w:tcBorders>
                    <w:top w:val="single" w:sz="4" w:space="0" w:color="000000"/>
                    <w:left w:val="single" w:sz="4" w:space="0" w:color="000000"/>
                    <w:bottom w:val="single" w:sz="4" w:space="0" w:color="000000"/>
                    <w:right w:val="single" w:sz="4" w:space="0" w:color="000000"/>
                  </w:tcBorders>
                </w:tcPr>
                <w:p w14:paraId="67D8A306" w14:textId="77777777" w:rsidR="005340D8" w:rsidRDefault="00226A79" w:rsidP="002B62FF">
                  <w:pPr>
                    <w:framePr w:wrap="around" w:vAnchor="text" w:hAnchor="margin" w:y="4037"/>
                    <w:spacing w:after="0" w:line="259" w:lineRule="auto"/>
                    <w:ind w:left="4" w:firstLine="0"/>
                    <w:suppressOverlap/>
                    <w:jc w:val="center"/>
                  </w:pPr>
                  <w:r>
                    <w:rPr>
                      <w:sz w:val="16"/>
                    </w:rPr>
                    <w:t>1.00</w:t>
                  </w:r>
                </w:p>
              </w:tc>
              <w:tc>
                <w:tcPr>
                  <w:tcW w:w="1600" w:type="dxa"/>
                  <w:tcBorders>
                    <w:top w:val="single" w:sz="4" w:space="0" w:color="000000"/>
                    <w:left w:val="single" w:sz="4" w:space="0" w:color="000000"/>
                    <w:bottom w:val="single" w:sz="4" w:space="0" w:color="000000"/>
                    <w:right w:val="single" w:sz="4" w:space="0" w:color="000000"/>
                  </w:tcBorders>
                </w:tcPr>
                <w:p w14:paraId="7CF30660" w14:textId="77777777" w:rsidR="005340D8" w:rsidRDefault="00226A79" w:rsidP="002B62FF">
                  <w:pPr>
                    <w:framePr w:wrap="around" w:vAnchor="text" w:hAnchor="margin" w:y="4037"/>
                    <w:spacing w:after="0" w:line="259" w:lineRule="auto"/>
                    <w:ind w:left="4" w:firstLine="0"/>
                    <w:suppressOverlap/>
                    <w:jc w:val="center"/>
                  </w:pPr>
                  <w:r>
                    <w:rPr>
                      <w:sz w:val="16"/>
                    </w:rPr>
                    <w:t>+0.00</w:t>
                  </w:r>
                </w:p>
              </w:tc>
            </w:tr>
            <w:tr w:rsidR="005340D8" w14:paraId="3018EEC5"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0514FC77" w14:textId="77777777" w:rsidR="005340D8" w:rsidRDefault="00226A79" w:rsidP="002B62FF">
                  <w:pPr>
                    <w:framePr w:wrap="around" w:vAnchor="text" w:hAnchor="margin" w:y="4037"/>
                    <w:spacing w:after="0" w:line="259" w:lineRule="auto"/>
                    <w:ind w:left="2" w:firstLine="0"/>
                    <w:suppressOverlap/>
                    <w:jc w:val="center"/>
                  </w:pPr>
                  <w:r>
                    <w:rPr>
                      <w:sz w:val="16"/>
                    </w:rPr>
                    <w:t>Detection recall</w:t>
                  </w:r>
                </w:p>
              </w:tc>
              <w:tc>
                <w:tcPr>
                  <w:tcW w:w="1700" w:type="dxa"/>
                  <w:tcBorders>
                    <w:top w:val="single" w:sz="4" w:space="0" w:color="000000"/>
                    <w:left w:val="single" w:sz="4" w:space="0" w:color="000000"/>
                    <w:bottom w:val="single" w:sz="4" w:space="0" w:color="000000"/>
                    <w:right w:val="single" w:sz="4" w:space="0" w:color="000000"/>
                  </w:tcBorders>
                </w:tcPr>
                <w:p w14:paraId="11261024" w14:textId="77777777" w:rsidR="005340D8" w:rsidRDefault="00226A79" w:rsidP="002B62FF">
                  <w:pPr>
                    <w:framePr w:wrap="around" w:vAnchor="text" w:hAnchor="margin" w:y="4037"/>
                    <w:spacing w:after="0" w:line="259" w:lineRule="auto"/>
                    <w:ind w:left="2" w:firstLine="0"/>
                    <w:suppressOverlap/>
                    <w:jc w:val="center"/>
                  </w:pPr>
                  <w:r>
                    <w:rPr>
                      <w:sz w:val="16"/>
                    </w:rPr>
                    <w:t>1.00</w:t>
                  </w:r>
                </w:p>
              </w:tc>
              <w:tc>
                <w:tcPr>
                  <w:tcW w:w="1700" w:type="dxa"/>
                  <w:tcBorders>
                    <w:top w:val="single" w:sz="4" w:space="0" w:color="000000"/>
                    <w:left w:val="single" w:sz="4" w:space="0" w:color="000000"/>
                    <w:bottom w:val="single" w:sz="4" w:space="0" w:color="000000"/>
                    <w:right w:val="single" w:sz="4" w:space="0" w:color="000000"/>
                  </w:tcBorders>
                </w:tcPr>
                <w:p w14:paraId="7C45DD50" w14:textId="77777777" w:rsidR="005340D8" w:rsidRDefault="00226A79" w:rsidP="002B62FF">
                  <w:pPr>
                    <w:framePr w:wrap="around" w:vAnchor="text" w:hAnchor="margin" w:y="4037"/>
                    <w:spacing w:after="0" w:line="259" w:lineRule="auto"/>
                    <w:ind w:left="4" w:firstLine="0"/>
                    <w:suppressOverlap/>
                    <w:jc w:val="center"/>
                  </w:pPr>
                  <w:r>
                    <w:rPr>
                      <w:sz w:val="16"/>
                    </w:rPr>
                    <w:t>1.00</w:t>
                  </w:r>
                </w:p>
              </w:tc>
              <w:tc>
                <w:tcPr>
                  <w:tcW w:w="1600" w:type="dxa"/>
                  <w:tcBorders>
                    <w:top w:val="single" w:sz="4" w:space="0" w:color="000000"/>
                    <w:left w:val="single" w:sz="4" w:space="0" w:color="000000"/>
                    <w:bottom w:val="single" w:sz="4" w:space="0" w:color="000000"/>
                    <w:right w:val="single" w:sz="4" w:space="0" w:color="000000"/>
                  </w:tcBorders>
                </w:tcPr>
                <w:p w14:paraId="1F4834A9" w14:textId="77777777" w:rsidR="005340D8" w:rsidRDefault="00226A79" w:rsidP="002B62FF">
                  <w:pPr>
                    <w:framePr w:wrap="around" w:vAnchor="text" w:hAnchor="margin" w:y="4037"/>
                    <w:spacing w:after="0" w:line="259" w:lineRule="auto"/>
                    <w:ind w:left="4" w:firstLine="0"/>
                    <w:suppressOverlap/>
                    <w:jc w:val="center"/>
                  </w:pPr>
                  <w:r>
                    <w:rPr>
                      <w:sz w:val="16"/>
                    </w:rPr>
                    <w:t>+0.00</w:t>
                  </w:r>
                </w:p>
              </w:tc>
            </w:tr>
            <w:tr w:rsidR="005340D8" w14:paraId="2840C0AA"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478CB7F5" w14:textId="77777777" w:rsidR="005340D8" w:rsidRDefault="00226A79" w:rsidP="002B62FF">
                  <w:pPr>
                    <w:framePr w:wrap="around" w:vAnchor="text" w:hAnchor="margin" w:y="4037"/>
                    <w:spacing w:after="0" w:line="259" w:lineRule="auto"/>
                    <w:ind w:left="2" w:firstLine="0"/>
                    <w:suppressOverlap/>
                    <w:jc w:val="center"/>
                  </w:pPr>
                  <w:r>
                    <w:rPr>
                      <w:sz w:val="16"/>
                    </w:rPr>
                    <w:t>F1 score</w:t>
                  </w:r>
                </w:p>
              </w:tc>
              <w:tc>
                <w:tcPr>
                  <w:tcW w:w="1700" w:type="dxa"/>
                  <w:tcBorders>
                    <w:top w:val="single" w:sz="4" w:space="0" w:color="000000"/>
                    <w:left w:val="single" w:sz="4" w:space="0" w:color="000000"/>
                    <w:bottom w:val="single" w:sz="4" w:space="0" w:color="000000"/>
                    <w:right w:val="single" w:sz="4" w:space="0" w:color="000000"/>
                  </w:tcBorders>
                </w:tcPr>
                <w:p w14:paraId="7C7A1B46" w14:textId="77777777" w:rsidR="005340D8" w:rsidRDefault="00226A79" w:rsidP="002B62FF">
                  <w:pPr>
                    <w:framePr w:wrap="around" w:vAnchor="text" w:hAnchor="margin" w:y="4037"/>
                    <w:spacing w:after="0" w:line="259" w:lineRule="auto"/>
                    <w:ind w:left="2" w:firstLine="0"/>
                    <w:suppressOverlap/>
                    <w:jc w:val="center"/>
                  </w:pPr>
                  <w:r>
                    <w:rPr>
                      <w:sz w:val="16"/>
                    </w:rPr>
                    <w:t>1.00</w:t>
                  </w:r>
                </w:p>
              </w:tc>
              <w:tc>
                <w:tcPr>
                  <w:tcW w:w="1700" w:type="dxa"/>
                  <w:tcBorders>
                    <w:top w:val="single" w:sz="4" w:space="0" w:color="000000"/>
                    <w:left w:val="single" w:sz="4" w:space="0" w:color="000000"/>
                    <w:bottom w:val="single" w:sz="4" w:space="0" w:color="000000"/>
                    <w:right w:val="single" w:sz="4" w:space="0" w:color="000000"/>
                  </w:tcBorders>
                </w:tcPr>
                <w:p w14:paraId="7375547F" w14:textId="77777777" w:rsidR="005340D8" w:rsidRDefault="00226A79" w:rsidP="002B62FF">
                  <w:pPr>
                    <w:framePr w:wrap="around" w:vAnchor="text" w:hAnchor="margin" w:y="4037"/>
                    <w:spacing w:after="0" w:line="259" w:lineRule="auto"/>
                    <w:ind w:left="4" w:firstLine="0"/>
                    <w:suppressOverlap/>
                    <w:jc w:val="center"/>
                  </w:pPr>
                  <w:r>
                    <w:rPr>
                      <w:sz w:val="16"/>
                    </w:rPr>
                    <w:t>1.00</w:t>
                  </w:r>
                </w:p>
              </w:tc>
              <w:tc>
                <w:tcPr>
                  <w:tcW w:w="1600" w:type="dxa"/>
                  <w:tcBorders>
                    <w:top w:val="single" w:sz="4" w:space="0" w:color="000000"/>
                    <w:left w:val="single" w:sz="4" w:space="0" w:color="000000"/>
                    <w:bottom w:val="single" w:sz="4" w:space="0" w:color="000000"/>
                    <w:right w:val="single" w:sz="4" w:space="0" w:color="000000"/>
                  </w:tcBorders>
                </w:tcPr>
                <w:p w14:paraId="773786F1" w14:textId="77777777" w:rsidR="005340D8" w:rsidRDefault="00226A79" w:rsidP="002B62FF">
                  <w:pPr>
                    <w:framePr w:wrap="around" w:vAnchor="text" w:hAnchor="margin" w:y="4037"/>
                    <w:spacing w:after="0" w:line="259" w:lineRule="auto"/>
                    <w:ind w:left="4" w:firstLine="0"/>
                    <w:suppressOverlap/>
                    <w:jc w:val="center"/>
                  </w:pPr>
                  <w:r>
                    <w:rPr>
                      <w:sz w:val="16"/>
                    </w:rPr>
                    <w:t>+0.00</w:t>
                  </w:r>
                </w:p>
              </w:tc>
            </w:tr>
            <w:tr w:rsidR="005340D8" w14:paraId="60AA7BE5"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572C1000" w14:textId="77777777" w:rsidR="005340D8" w:rsidRDefault="00226A79" w:rsidP="002B62FF">
                  <w:pPr>
                    <w:framePr w:wrap="around" w:vAnchor="text" w:hAnchor="margin" w:y="4037"/>
                    <w:spacing w:after="0" w:line="259" w:lineRule="auto"/>
                    <w:ind w:left="1" w:firstLine="0"/>
                    <w:suppressOverlap/>
                    <w:jc w:val="center"/>
                  </w:pPr>
                  <w:r>
                    <w:rPr>
                      <w:sz w:val="16"/>
                    </w:rPr>
                    <w:t>ATT&amp;CK mapping accuracy (correct / attempted)</w:t>
                  </w:r>
                </w:p>
              </w:tc>
              <w:tc>
                <w:tcPr>
                  <w:tcW w:w="1700" w:type="dxa"/>
                  <w:tcBorders>
                    <w:top w:val="single" w:sz="4" w:space="0" w:color="000000"/>
                    <w:left w:val="single" w:sz="4" w:space="0" w:color="000000"/>
                    <w:bottom w:val="single" w:sz="4" w:space="0" w:color="000000"/>
                    <w:right w:val="single" w:sz="4" w:space="0" w:color="000000"/>
                  </w:tcBorders>
                </w:tcPr>
                <w:p w14:paraId="506EAC76" w14:textId="77777777" w:rsidR="005340D8" w:rsidRDefault="00226A79" w:rsidP="002B62FF">
                  <w:pPr>
                    <w:framePr w:wrap="around" w:vAnchor="text" w:hAnchor="margin" w:y="4037"/>
                    <w:spacing w:after="0" w:line="259" w:lineRule="auto"/>
                    <w:ind w:left="2" w:firstLine="0"/>
                    <w:suppressOverlap/>
                    <w:jc w:val="center"/>
                  </w:pPr>
                  <w:r>
                    <w:rPr>
                      <w:sz w:val="16"/>
                    </w:rPr>
                    <w:t>0.00</w:t>
                  </w:r>
                </w:p>
              </w:tc>
              <w:tc>
                <w:tcPr>
                  <w:tcW w:w="1700" w:type="dxa"/>
                  <w:tcBorders>
                    <w:top w:val="single" w:sz="4" w:space="0" w:color="000000"/>
                    <w:left w:val="single" w:sz="4" w:space="0" w:color="000000"/>
                    <w:bottom w:val="single" w:sz="4" w:space="0" w:color="000000"/>
                    <w:right w:val="single" w:sz="4" w:space="0" w:color="000000"/>
                  </w:tcBorders>
                </w:tcPr>
                <w:p w14:paraId="40DB0A40" w14:textId="77777777" w:rsidR="005340D8" w:rsidRDefault="00226A79" w:rsidP="002B62FF">
                  <w:pPr>
                    <w:framePr w:wrap="around" w:vAnchor="text" w:hAnchor="margin" w:y="4037"/>
                    <w:spacing w:after="0" w:line="259" w:lineRule="auto"/>
                    <w:ind w:left="4" w:firstLine="0"/>
                    <w:suppressOverlap/>
                    <w:jc w:val="center"/>
                  </w:pPr>
                  <w:r>
                    <w:rPr>
                      <w:sz w:val="16"/>
                    </w:rPr>
                    <w:t>0.45 (± 0.03)</w:t>
                  </w:r>
                </w:p>
              </w:tc>
              <w:tc>
                <w:tcPr>
                  <w:tcW w:w="1600" w:type="dxa"/>
                  <w:tcBorders>
                    <w:top w:val="single" w:sz="4" w:space="0" w:color="000000"/>
                    <w:left w:val="single" w:sz="4" w:space="0" w:color="000000"/>
                    <w:bottom w:val="single" w:sz="4" w:space="0" w:color="000000"/>
                    <w:right w:val="single" w:sz="4" w:space="0" w:color="000000"/>
                  </w:tcBorders>
                </w:tcPr>
                <w:p w14:paraId="2E251BDB" w14:textId="77777777" w:rsidR="005340D8" w:rsidRDefault="00226A79" w:rsidP="002B62FF">
                  <w:pPr>
                    <w:framePr w:wrap="around" w:vAnchor="text" w:hAnchor="margin" w:y="4037"/>
                    <w:spacing w:after="0" w:line="259" w:lineRule="auto"/>
                    <w:ind w:left="4" w:firstLine="0"/>
                    <w:suppressOverlap/>
                    <w:jc w:val="center"/>
                  </w:pPr>
                  <w:r>
                    <w:rPr>
                      <w:sz w:val="16"/>
                    </w:rPr>
                    <w:t>+0.45</w:t>
                  </w:r>
                </w:p>
              </w:tc>
            </w:tr>
            <w:tr w:rsidR="005340D8" w14:paraId="4C636790"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075FEA25" w14:textId="77777777" w:rsidR="005340D8" w:rsidRDefault="00226A79" w:rsidP="002B62FF">
                  <w:pPr>
                    <w:framePr w:wrap="around" w:vAnchor="text" w:hAnchor="margin" w:y="4037"/>
                    <w:spacing w:after="0" w:line="259" w:lineRule="auto"/>
                    <w:ind w:left="2" w:firstLine="0"/>
                    <w:suppressOverlap/>
                    <w:jc w:val="center"/>
                  </w:pPr>
                  <w:r>
                    <w:rPr>
                      <w:sz w:val="16"/>
                    </w:rPr>
                    <w:t>Unsupported-claim rate</w:t>
                  </w:r>
                </w:p>
              </w:tc>
              <w:tc>
                <w:tcPr>
                  <w:tcW w:w="1700" w:type="dxa"/>
                  <w:tcBorders>
                    <w:top w:val="single" w:sz="4" w:space="0" w:color="000000"/>
                    <w:left w:val="single" w:sz="4" w:space="0" w:color="000000"/>
                    <w:bottom w:val="single" w:sz="4" w:space="0" w:color="000000"/>
                    <w:right w:val="single" w:sz="4" w:space="0" w:color="000000"/>
                  </w:tcBorders>
                </w:tcPr>
                <w:p w14:paraId="05A63AC7" w14:textId="77777777" w:rsidR="005340D8" w:rsidRDefault="00226A79" w:rsidP="002B62FF">
                  <w:pPr>
                    <w:framePr w:wrap="around" w:vAnchor="text" w:hAnchor="margin" w:y="4037"/>
                    <w:spacing w:after="0" w:line="259" w:lineRule="auto"/>
                    <w:ind w:left="2" w:firstLine="0"/>
                    <w:suppressOverlap/>
                    <w:jc w:val="center"/>
                  </w:pPr>
                  <w:r>
                    <w:rPr>
                      <w:sz w:val="16"/>
                    </w:rPr>
                    <w:t>0.00</w:t>
                  </w:r>
                </w:p>
              </w:tc>
              <w:tc>
                <w:tcPr>
                  <w:tcW w:w="1700" w:type="dxa"/>
                  <w:tcBorders>
                    <w:top w:val="single" w:sz="4" w:space="0" w:color="000000"/>
                    <w:left w:val="single" w:sz="4" w:space="0" w:color="000000"/>
                    <w:bottom w:val="single" w:sz="4" w:space="0" w:color="000000"/>
                    <w:right w:val="single" w:sz="4" w:space="0" w:color="000000"/>
                  </w:tcBorders>
                </w:tcPr>
                <w:p w14:paraId="552993A6" w14:textId="77777777" w:rsidR="005340D8" w:rsidRDefault="00226A79" w:rsidP="002B62FF">
                  <w:pPr>
                    <w:framePr w:wrap="around" w:vAnchor="text" w:hAnchor="margin" w:y="4037"/>
                    <w:spacing w:after="0" w:line="259" w:lineRule="auto"/>
                    <w:ind w:left="4" w:firstLine="0"/>
                    <w:suppressOverlap/>
                    <w:jc w:val="center"/>
                  </w:pPr>
                  <w:r>
                    <w:rPr>
                      <w:sz w:val="16"/>
                    </w:rPr>
                    <w:t>0.00</w:t>
                  </w:r>
                </w:p>
              </w:tc>
              <w:tc>
                <w:tcPr>
                  <w:tcW w:w="1600" w:type="dxa"/>
                  <w:tcBorders>
                    <w:top w:val="single" w:sz="4" w:space="0" w:color="000000"/>
                    <w:left w:val="single" w:sz="4" w:space="0" w:color="000000"/>
                    <w:bottom w:val="single" w:sz="4" w:space="0" w:color="000000"/>
                    <w:right w:val="single" w:sz="4" w:space="0" w:color="000000"/>
                  </w:tcBorders>
                </w:tcPr>
                <w:p w14:paraId="3712195A" w14:textId="77777777" w:rsidR="005340D8" w:rsidRDefault="00226A79" w:rsidP="002B62FF">
                  <w:pPr>
                    <w:framePr w:wrap="around" w:vAnchor="text" w:hAnchor="margin" w:y="4037"/>
                    <w:spacing w:after="0" w:line="259" w:lineRule="auto"/>
                    <w:ind w:left="4" w:firstLine="0"/>
                    <w:suppressOverlap/>
                    <w:jc w:val="center"/>
                  </w:pPr>
                  <w:r>
                    <w:rPr>
                      <w:sz w:val="16"/>
                    </w:rPr>
                    <w:t>+0.00</w:t>
                  </w:r>
                </w:p>
              </w:tc>
            </w:tr>
            <w:tr w:rsidR="005340D8" w14:paraId="7B5144CB"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1C88DF4C" w14:textId="77777777" w:rsidR="005340D8" w:rsidRDefault="00226A79" w:rsidP="002B62FF">
                  <w:pPr>
                    <w:framePr w:wrap="around" w:vAnchor="text" w:hAnchor="margin" w:y="4037"/>
                    <w:spacing w:after="0" w:line="259" w:lineRule="auto"/>
                    <w:ind w:left="2" w:firstLine="0"/>
                    <w:suppressOverlap/>
                    <w:jc w:val="center"/>
                  </w:pPr>
                  <w:r>
                    <w:rPr>
                      <w:sz w:val="16"/>
                    </w:rPr>
                    <w:t>Telemetry tamper detection (T1562)</w:t>
                  </w:r>
                </w:p>
              </w:tc>
              <w:tc>
                <w:tcPr>
                  <w:tcW w:w="1700" w:type="dxa"/>
                  <w:tcBorders>
                    <w:top w:val="single" w:sz="4" w:space="0" w:color="000000"/>
                    <w:left w:val="single" w:sz="4" w:space="0" w:color="000000"/>
                    <w:bottom w:val="single" w:sz="4" w:space="0" w:color="000000"/>
                    <w:right w:val="single" w:sz="4" w:space="0" w:color="000000"/>
                  </w:tcBorders>
                </w:tcPr>
                <w:p w14:paraId="49EB343C" w14:textId="77777777" w:rsidR="005340D8" w:rsidRDefault="00226A79" w:rsidP="002B62FF">
                  <w:pPr>
                    <w:framePr w:wrap="around" w:vAnchor="text" w:hAnchor="margin" w:y="4037"/>
                    <w:spacing w:after="0" w:line="259" w:lineRule="auto"/>
                    <w:ind w:left="2" w:firstLine="0"/>
                    <w:suppressOverlap/>
                    <w:jc w:val="center"/>
                  </w:pPr>
                  <w:r>
                    <w:rPr>
                      <w:sz w:val="16"/>
                    </w:rPr>
                    <w:t>0.00</w:t>
                  </w:r>
                </w:p>
              </w:tc>
              <w:tc>
                <w:tcPr>
                  <w:tcW w:w="1700" w:type="dxa"/>
                  <w:tcBorders>
                    <w:top w:val="single" w:sz="4" w:space="0" w:color="000000"/>
                    <w:left w:val="single" w:sz="4" w:space="0" w:color="000000"/>
                    <w:bottom w:val="single" w:sz="4" w:space="0" w:color="000000"/>
                    <w:right w:val="single" w:sz="4" w:space="0" w:color="000000"/>
                  </w:tcBorders>
                </w:tcPr>
                <w:p w14:paraId="5F3FC287" w14:textId="77777777" w:rsidR="005340D8" w:rsidRDefault="00226A79" w:rsidP="002B62FF">
                  <w:pPr>
                    <w:framePr w:wrap="around" w:vAnchor="text" w:hAnchor="margin" w:y="4037"/>
                    <w:spacing w:after="0" w:line="259" w:lineRule="auto"/>
                    <w:ind w:left="4" w:firstLine="0"/>
                    <w:suppressOverlap/>
                    <w:jc w:val="center"/>
                  </w:pPr>
                  <w:r>
                    <w:rPr>
                      <w:sz w:val="16"/>
                    </w:rPr>
                    <w:t>0.50 (± 0.08)</w:t>
                  </w:r>
                </w:p>
              </w:tc>
              <w:tc>
                <w:tcPr>
                  <w:tcW w:w="1600" w:type="dxa"/>
                  <w:tcBorders>
                    <w:top w:val="single" w:sz="4" w:space="0" w:color="000000"/>
                    <w:left w:val="single" w:sz="4" w:space="0" w:color="000000"/>
                    <w:bottom w:val="single" w:sz="4" w:space="0" w:color="000000"/>
                    <w:right w:val="single" w:sz="4" w:space="0" w:color="000000"/>
                  </w:tcBorders>
                </w:tcPr>
                <w:p w14:paraId="2C16A1FE" w14:textId="77777777" w:rsidR="005340D8" w:rsidRDefault="00226A79" w:rsidP="002B62FF">
                  <w:pPr>
                    <w:framePr w:wrap="around" w:vAnchor="text" w:hAnchor="margin" w:y="4037"/>
                    <w:spacing w:after="0" w:line="259" w:lineRule="auto"/>
                    <w:ind w:left="4" w:firstLine="0"/>
                    <w:suppressOverlap/>
                    <w:jc w:val="center"/>
                  </w:pPr>
                  <w:r>
                    <w:rPr>
                      <w:sz w:val="16"/>
                    </w:rPr>
                    <w:t>+0.50</w:t>
                  </w:r>
                </w:p>
              </w:tc>
            </w:tr>
            <w:tr w:rsidR="005340D8" w14:paraId="297D4D77"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77C9106F" w14:textId="77777777" w:rsidR="005340D8" w:rsidRDefault="00226A79" w:rsidP="002B62FF">
                  <w:pPr>
                    <w:framePr w:wrap="around" w:vAnchor="text" w:hAnchor="margin" w:y="4037"/>
                    <w:spacing w:after="0" w:line="259" w:lineRule="auto"/>
                    <w:ind w:left="1" w:firstLine="0"/>
                    <w:suppressOverlap/>
                    <w:jc w:val="center"/>
                  </w:pPr>
                  <w:r>
                    <w:rPr>
                      <w:sz w:val="16"/>
                    </w:rPr>
                    <w:t>Median end-to-end latency (ms)</w:t>
                  </w:r>
                </w:p>
              </w:tc>
              <w:tc>
                <w:tcPr>
                  <w:tcW w:w="1700" w:type="dxa"/>
                  <w:tcBorders>
                    <w:top w:val="single" w:sz="4" w:space="0" w:color="000000"/>
                    <w:left w:val="single" w:sz="4" w:space="0" w:color="000000"/>
                    <w:bottom w:val="single" w:sz="4" w:space="0" w:color="000000"/>
                    <w:right w:val="single" w:sz="4" w:space="0" w:color="000000"/>
                  </w:tcBorders>
                </w:tcPr>
                <w:p w14:paraId="778879B7" w14:textId="77777777" w:rsidR="005340D8" w:rsidRDefault="00226A79" w:rsidP="002B62FF">
                  <w:pPr>
                    <w:framePr w:wrap="around" w:vAnchor="text" w:hAnchor="margin" w:y="4037"/>
                    <w:spacing w:after="0" w:line="259" w:lineRule="auto"/>
                    <w:ind w:left="2" w:firstLine="0"/>
                    <w:suppressOverlap/>
                    <w:jc w:val="center"/>
                  </w:pPr>
                  <w:r>
                    <w:rPr>
                      <w:sz w:val="16"/>
                    </w:rPr>
                    <w:t>1.70</w:t>
                  </w:r>
                </w:p>
              </w:tc>
              <w:tc>
                <w:tcPr>
                  <w:tcW w:w="1700" w:type="dxa"/>
                  <w:tcBorders>
                    <w:top w:val="single" w:sz="4" w:space="0" w:color="000000"/>
                    <w:left w:val="single" w:sz="4" w:space="0" w:color="000000"/>
                    <w:bottom w:val="single" w:sz="4" w:space="0" w:color="000000"/>
                    <w:right w:val="single" w:sz="4" w:space="0" w:color="000000"/>
                  </w:tcBorders>
                </w:tcPr>
                <w:p w14:paraId="49B26A60" w14:textId="77777777" w:rsidR="005340D8" w:rsidRDefault="00226A79" w:rsidP="002B62FF">
                  <w:pPr>
                    <w:framePr w:wrap="around" w:vAnchor="text" w:hAnchor="margin" w:y="4037"/>
                    <w:spacing w:after="0" w:line="259" w:lineRule="auto"/>
                    <w:ind w:left="4" w:firstLine="0"/>
                    <w:suppressOverlap/>
                    <w:jc w:val="center"/>
                  </w:pPr>
                  <w:r>
                    <w:rPr>
                      <w:sz w:val="16"/>
                    </w:rPr>
                    <w:t>408.09 (± 8.60)</w:t>
                  </w:r>
                </w:p>
              </w:tc>
              <w:tc>
                <w:tcPr>
                  <w:tcW w:w="1600" w:type="dxa"/>
                  <w:tcBorders>
                    <w:top w:val="single" w:sz="4" w:space="0" w:color="000000"/>
                    <w:left w:val="single" w:sz="4" w:space="0" w:color="000000"/>
                    <w:bottom w:val="single" w:sz="4" w:space="0" w:color="000000"/>
                    <w:right w:val="single" w:sz="4" w:space="0" w:color="000000"/>
                  </w:tcBorders>
                </w:tcPr>
                <w:p w14:paraId="5CA7B951" w14:textId="77777777" w:rsidR="005340D8" w:rsidRDefault="00226A79" w:rsidP="002B62FF">
                  <w:pPr>
                    <w:framePr w:wrap="around" w:vAnchor="text" w:hAnchor="margin" w:y="4037"/>
                    <w:spacing w:after="0" w:line="259" w:lineRule="auto"/>
                    <w:ind w:left="4" w:firstLine="0"/>
                    <w:suppressOverlap/>
                    <w:jc w:val="center"/>
                  </w:pPr>
                  <w:r>
                    <w:rPr>
                      <w:sz w:val="16"/>
                    </w:rPr>
                    <w:t>+406.39</w:t>
                  </w:r>
                </w:p>
              </w:tc>
            </w:tr>
            <w:tr w:rsidR="005340D8" w14:paraId="4E664CFF"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47119D6E" w14:textId="77777777" w:rsidR="005340D8" w:rsidRDefault="00226A79" w:rsidP="002B62FF">
                  <w:pPr>
                    <w:framePr w:wrap="around" w:vAnchor="text" w:hAnchor="margin" w:y="4037"/>
                    <w:spacing w:after="0" w:line="259" w:lineRule="auto"/>
                    <w:ind w:left="3" w:firstLine="0"/>
                    <w:suppressOverlap/>
                    <w:jc w:val="center"/>
                  </w:pPr>
                  <w:r>
                    <w:rPr>
                      <w:sz w:val="16"/>
                    </w:rPr>
                    <w:t>CPU overhead (%)</w:t>
                  </w:r>
                </w:p>
              </w:tc>
              <w:tc>
                <w:tcPr>
                  <w:tcW w:w="1700" w:type="dxa"/>
                  <w:tcBorders>
                    <w:top w:val="single" w:sz="4" w:space="0" w:color="000000"/>
                    <w:left w:val="single" w:sz="4" w:space="0" w:color="000000"/>
                    <w:bottom w:val="single" w:sz="4" w:space="0" w:color="000000"/>
                    <w:right w:val="single" w:sz="4" w:space="0" w:color="000000"/>
                  </w:tcBorders>
                </w:tcPr>
                <w:p w14:paraId="09D15E94" w14:textId="77777777" w:rsidR="005340D8" w:rsidRDefault="00226A79" w:rsidP="002B62FF">
                  <w:pPr>
                    <w:framePr w:wrap="around" w:vAnchor="text" w:hAnchor="margin" w:y="4037"/>
                    <w:spacing w:after="0" w:line="259" w:lineRule="auto"/>
                    <w:ind w:left="2" w:firstLine="0"/>
                    <w:suppressOverlap/>
                    <w:jc w:val="center"/>
                  </w:pPr>
                  <w:r>
                    <w:rPr>
                      <w:sz w:val="16"/>
                    </w:rPr>
                    <w:t>0.00</w:t>
                  </w:r>
                </w:p>
              </w:tc>
              <w:tc>
                <w:tcPr>
                  <w:tcW w:w="1700" w:type="dxa"/>
                  <w:tcBorders>
                    <w:top w:val="single" w:sz="4" w:space="0" w:color="000000"/>
                    <w:left w:val="single" w:sz="4" w:space="0" w:color="000000"/>
                    <w:bottom w:val="single" w:sz="4" w:space="0" w:color="000000"/>
                    <w:right w:val="single" w:sz="4" w:space="0" w:color="000000"/>
                  </w:tcBorders>
                </w:tcPr>
                <w:p w14:paraId="40261088" w14:textId="77777777" w:rsidR="005340D8" w:rsidRDefault="00226A79" w:rsidP="002B62FF">
                  <w:pPr>
                    <w:framePr w:wrap="around" w:vAnchor="text" w:hAnchor="margin" w:y="4037"/>
                    <w:spacing w:after="0" w:line="259" w:lineRule="auto"/>
                    <w:ind w:left="4" w:firstLine="0"/>
                    <w:suppressOverlap/>
                    <w:jc w:val="center"/>
                  </w:pPr>
                  <w:r>
                    <w:rPr>
                      <w:sz w:val="16"/>
                    </w:rPr>
                    <w:t>0.35 (± 0.08)</w:t>
                  </w:r>
                </w:p>
              </w:tc>
              <w:tc>
                <w:tcPr>
                  <w:tcW w:w="1600" w:type="dxa"/>
                  <w:tcBorders>
                    <w:top w:val="single" w:sz="4" w:space="0" w:color="000000"/>
                    <w:left w:val="single" w:sz="4" w:space="0" w:color="000000"/>
                    <w:bottom w:val="single" w:sz="4" w:space="0" w:color="000000"/>
                    <w:right w:val="single" w:sz="4" w:space="0" w:color="000000"/>
                  </w:tcBorders>
                </w:tcPr>
                <w:p w14:paraId="0F55172A" w14:textId="77777777" w:rsidR="005340D8" w:rsidRDefault="00226A79" w:rsidP="002B62FF">
                  <w:pPr>
                    <w:framePr w:wrap="around" w:vAnchor="text" w:hAnchor="margin" w:y="4037"/>
                    <w:spacing w:after="0" w:line="259" w:lineRule="auto"/>
                    <w:ind w:left="4" w:firstLine="0"/>
                    <w:suppressOverlap/>
                    <w:jc w:val="center"/>
                  </w:pPr>
                  <w:r>
                    <w:rPr>
                      <w:sz w:val="16"/>
                    </w:rPr>
                    <w:t>+0.35</w:t>
                  </w:r>
                </w:p>
              </w:tc>
            </w:tr>
            <w:tr w:rsidR="005340D8" w14:paraId="41E2A9F5" w14:textId="77777777">
              <w:trPr>
                <w:trHeight w:val="194"/>
              </w:trPr>
              <w:tc>
                <w:tcPr>
                  <w:tcW w:w="4200" w:type="dxa"/>
                  <w:tcBorders>
                    <w:top w:val="single" w:sz="4" w:space="0" w:color="000000"/>
                    <w:left w:val="single" w:sz="4" w:space="0" w:color="000000"/>
                    <w:bottom w:val="single" w:sz="4" w:space="0" w:color="000000"/>
                    <w:right w:val="single" w:sz="4" w:space="0" w:color="000000"/>
                  </w:tcBorders>
                </w:tcPr>
                <w:p w14:paraId="45A4A8F4" w14:textId="77777777" w:rsidR="005340D8" w:rsidRDefault="00226A79" w:rsidP="002B62FF">
                  <w:pPr>
                    <w:framePr w:wrap="around" w:vAnchor="text" w:hAnchor="margin" w:y="4037"/>
                    <w:spacing w:after="0" w:line="259" w:lineRule="auto"/>
                    <w:ind w:left="2" w:firstLine="0"/>
                    <w:suppressOverlap/>
                    <w:jc w:val="center"/>
                  </w:pPr>
                  <w:r>
                    <w:rPr>
                      <w:sz w:val="16"/>
                    </w:rPr>
                    <w:t>Memory overhead (MB)</w:t>
                  </w:r>
                </w:p>
              </w:tc>
              <w:tc>
                <w:tcPr>
                  <w:tcW w:w="1700" w:type="dxa"/>
                  <w:tcBorders>
                    <w:top w:val="single" w:sz="4" w:space="0" w:color="000000"/>
                    <w:left w:val="single" w:sz="4" w:space="0" w:color="000000"/>
                    <w:bottom w:val="single" w:sz="4" w:space="0" w:color="000000"/>
                    <w:right w:val="single" w:sz="4" w:space="0" w:color="000000"/>
                  </w:tcBorders>
                </w:tcPr>
                <w:p w14:paraId="58F27C12" w14:textId="77777777" w:rsidR="005340D8" w:rsidRDefault="00226A79" w:rsidP="002B62FF">
                  <w:pPr>
                    <w:framePr w:wrap="around" w:vAnchor="text" w:hAnchor="margin" w:y="4037"/>
                    <w:spacing w:after="0" w:line="259" w:lineRule="auto"/>
                    <w:ind w:left="2" w:firstLine="0"/>
                    <w:suppressOverlap/>
                    <w:jc w:val="center"/>
                  </w:pPr>
                  <w:r>
                    <w:rPr>
                      <w:sz w:val="16"/>
                    </w:rPr>
                    <w:t>0.01</w:t>
                  </w:r>
                </w:p>
              </w:tc>
              <w:tc>
                <w:tcPr>
                  <w:tcW w:w="1700" w:type="dxa"/>
                  <w:tcBorders>
                    <w:top w:val="single" w:sz="4" w:space="0" w:color="000000"/>
                    <w:left w:val="single" w:sz="4" w:space="0" w:color="000000"/>
                    <w:bottom w:val="single" w:sz="4" w:space="0" w:color="000000"/>
                    <w:right w:val="single" w:sz="4" w:space="0" w:color="000000"/>
                  </w:tcBorders>
                </w:tcPr>
                <w:p w14:paraId="698E99CD" w14:textId="77777777" w:rsidR="005340D8" w:rsidRDefault="00226A79" w:rsidP="002B62FF">
                  <w:pPr>
                    <w:framePr w:wrap="around" w:vAnchor="text" w:hAnchor="margin" w:y="4037"/>
                    <w:spacing w:after="0" w:line="259" w:lineRule="auto"/>
                    <w:ind w:left="4" w:firstLine="0"/>
                    <w:suppressOverlap/>
                    <w:jc w:val="center"/>
                  </w:pPr>
                  <w:r>
                    <w:rPr>
                      <w:sz w:val="16"/>
                    </w:rPr>
                    <w:t>0.01</w:t>
                  </w:r>
                </w:p>
              </w:tc>
              <w:tc>
                <w:tcPr>
                  <w:tcW w:w="1600" w:type="dxa"/>
                  <w:tcBorders>
                    <w:top w:val="single" w:sz="4" w:space="0" w:color="000000"/>
                    <w:left w:val="single" w:sz="4" w:space="0" w:color="000000"/>
                    <w:bottom w:val="single" w:sz="4" w:space="0" w:color="000000"/>
                    <w:right w:val="single" w:sz="4" w:space="0" w:color="000000"/>
                  </w:tcBorders>
                </w:tcPr>
                <w:p w14:paraId="1EAF3075" w14:textId="77777777" w:rsidR="005340D8" w:rsidRDefault="00226A79" w:rsidP="002B62FF">
                  <w:pPr>
                    <w:framePr w:wrap="around" w:vAnchor="text" w:hAnchor="margin" w:y="4037"/>
                    <w:spacing w:after="0" w:line="259" w:lineRule="auto"/>
                    <w:ind w:left="4" w:firstLine="0"/>
                    <w:suppressOverlap/>
                    <w:jc w:val="center"/>
                  </w:pPr>
                  <w:r>
                    <w:rPr>
                      <w:sz w:val="16"/>
                    </w:rPr>
                    <w:t>+0.00</w:t>
                  </w:r>
                </w:p>
              </w:tc>
            </w:tr>
          </w:tbl>
          <w:p w14:paraId="2F9EF159" w14:textId="77777777" w:rsidR="005340D8" w:rsidRDefault="00226A79">
            <w:pPr>
              <w:spacing w:after="0" w:line="259" w:lineRule="auto"/>
              <w:ind w:left="0" w:right="51" w:firstLine="0"/>
              <w:jc w:val="center"/>
            </w:pPr>
            <w:r>
              <w:rPr>
                <w:rFonts w:ascii="Times New Roman" w:hAnsi="Times New Roman"/>
                <w:b/>
                <w:i/>
                <w:sz w:val="16"/>
              </w:rPr>
              <w:t xml:space="preserve">B. Detection Accuracy and Contextualization </w:t>
            </w:r>
            <w:r>
              <w:rPr>
                <w:rFonts w:ascii="Times New Roman" w:hAnsi="Times New Roman"/>
                <w:sz w:val="16"/>
              </w:rPr>
              <w:t>contain unambiguous indicators. These scores establish that Both configurations achieved precision, recall and F1 of 1.00, GenAI augmentation does not degrade baseline detection with no measured change — an expected artefact of the efficacy, not that GenAI improves detection; performance on synthetic dataset, where benign traces contain no real or held-out families is expected to be materially lower ransomware-associated indicators and malicious traces and is left to future evaluation.</w:t>
            </w:r>
          </w:p>
        </w:tc>
      </w:tr>
    </w:tbl>
    <w:p w14:paraId="60CB3A07" w14:textId="77777777" w:rsidR="005340D8" w:rsidRDefault="00226A79">
      <w:pPr>
        <w:ind w:left="-5" w:right="44"/>
        <w:jc w:val="both"/>
      </w:pPr>
      <w:r>
        <w:rPr>
          <w:rFonts w:ascii="Times New Roman" w:hAnsi="Times New Roman"/>
          <w:sz w:val="18"/>
        </w:rPr>
        <w:t>The dataset comprises 100 synthetic traces (50 malicious, 50 benign), synthetically engineered around MITRE ATT&amp;CK behaviours T1490, T1486 and T1562 (including simulated event-log clearing). Benign traces contain no injected indicators. GenAI inference was performed locally using Qwen2 (0.5B) via Ollama, avoiding transmission of telemetry to a hosted service (Section VII-A). Table III (below) reports the results. All GenAI metrics are reported as the mean ± standard deviation across n=3 independent trials; the perfect binary classification scores of 1.00 are included strictly as a sanity check to verify dataset ingestion, rather than as an empirical finding, as the dataset contains unambiguous primary IOCs.</w:t>
      </w:r>
    </w:p>
    <w:p w14:paraId="6F7DFCBA" w14:textId="77777777" w:rsidR="005340D8" w:rsidRDefault="00226A79">
      <w:pPr>
        <w:spacing w:after="119"/>
        <w:ind w:left="-5" w:right="44"/>
        <w:jc w:val="both"/>
      </w:pPr>
      <w:r>
        <w:rPr>
          <w:rFonts w:ascii="Times New Roman" w:hAnsi="Times New Roman"/>
          <w:sz w:val="18"/>
        </w:rPr>
        <w:t>The baseline has an ATT&amp;CK mapping accuracy of 0.00 by construction. The proposed system correctly mapped a mean of 45% (± 3%) of malicious traces to their exact technique across n=3 trials, and conservatively abstained rather than guessing on the remainder; the unsupported-</w:t>
      </w:r>
      <w:r>
        <w:rPr>
          <w:rFonts w:ascii="Times New Roman" w:hAnsi="Times New Roman"/>
          <w:sz w:val="18"/>
        </w:rPr>
        <w:lastRenderedPageBreak/>
        <w:t>claim rate remained 0.00 (± 0.00) throughout, a direct consequence of the schema-validation step in Algorithm 2 (lines 5–6), not a guarantee against unsupported claims on more ambiguous inputs.</w:t>
      </w:r>
    </w:p>
    <w:p w14:paraId="4F5551C6" w14:textId="77777777" w:rsidR="005340D8" w:rsidRDefault="00226A79">
      <w:pPr>
        <w:ind w:left="-5" w:right="44"/>
        <w:jc w:val="both"/>
      </w:pPr>
      <w:r>
        <w:rPr>
          <w:rFonts w:ascii="Times New Roman" w:hAnsi="Times New Roman"/>
          <w:sz w:val="18"/>
        </w:rPr>
        <w:t xml:space="preserve">Traces exhibiting T1562 alongside primary indicators were correctly classified as malicious by the baseline on the strength of co-occurring indicators (e.g., shadow-copy deletion), but the baseline has no mechanism to identify the secondary evasion behaviour itself. The GenAI engine identified a mean of 50% (± 8%) of these simulated tampering attempts across n=3 trials — a measure of </w:t>
      </w:r>
      <w:proofErr w:type="spellStart"/>
      <w:r>
        <w:rPr>
          <w:rFonts w:ascii="Times New Roman" w:hAnsi="Times New Roman"/>
          <w:sz w:val="18"/>
        </w:rPr>
        <w:t>tacticaltechnique</w:t>
      </w:r>
      <w:proofErr w:type="spellEnd"/>
      <w:r>
        <w:rPr>
          <w:rFonts w:ascii="Times New Roman" w:hAnsi="Times New Roman"/>
          <w:sz w:val="18"/>
        </w:rPr>
        <w:t xml:space="preserve"> identification within already-detected malicious traces, not independent detection.</w:t>
      </w:r>
    </w:p>
    <w:p w14:paraId="172EE97B" w14:textId="77777777" w:rsidR="005340D8" w:rsidRDefault="00226A79">
      <w:pPr>
        <w:pStyle w:val="Heading2"/>
        <w:keepNext/>
        <w:ind w:left="-5"/>
      </w:pPr>
      <w:r>
        <w:rPr>
          <w:rFonts w:ascii="Times New Roman" w:hAnsi="Times New Roman"/>
          <w:i/>
          <w:sz w:val="18"/>
        </w:rPr>
        <w:t>C. Performance and Computational Overhead</w:t>
      </w:r>
    </w:p>
    <w:p w14:paraId="7DBFD145" w14:textId="77777777" w:rsidR="005340D8" w:rsidRDefault="00226A79">
      <w:pPr>
        <w:spacing w:after="119"/>
        <w:ind w:left="-5" w:right="44"/>
        <w:jc w:val="both"/>
      </w:pPr>
      <w:r>
        <w:rPr>
          <w:rFonts w:ascii="Times New Roman" w:hAnsi="Times New Roman"/>
          <w:sz w:val="18"/>
        </w:rPr>
        <w:t>Median end-to-end latency increased from 1.70 ms (baseline) to a mean of 408.09 ms (± 8.60) for the proposed GenAI system across n=3 trials, attributable almost entirely to LLM token-generation time. Given sandbox detonation runs on the order of minutes, sub-second interpretation overhead is negligible, and analysis is designed to occur out-of-band from containment actions.</w:t>
      </w:r>
    </w:p>
    <w:p w14:paraId="42CC501C" w14:textId="77777777" w:rsidR="005340D8" w:rsidRDefault="00226A79">
      <w:pPr>
        <w:ind w:left="-5" w:right="44"/>
        <w:jc w:val="both"/>
      </w:pPr>
      <w:r>
        <w:rPr>
          <w:rFonts w:ascii="Times New Roman" w:hAnsi="Times New Roman"/>
          <w:sz w:val="18"/>
        </w:rPr>
        <w:t>Orchestrator CPU overhead increased by a marginal mean of 0.35% (± 0.08) across n=3 trials — the amortised cost of prompt construction and asynchronous API handling, not the LLM's own peak load. Memory overhead was observed to be negligible (+0.01 MB) and remained entirely static across all three trials. Inference was offloaded to an independent Ollama daemon running quantised Qwen2 0.5B, whose own memory footprint was not measured in this evaluation; characterising the daemon's resource profile is future work.</w:t>
      </w:r>
    </w:p>
    <w:p w14:paraId="332A0861" w14:textId="77777777" w:rsidR="005340D8" w:rsidRDefault="00226A79">
      <w:pPr>
        <w:pStyle w:val="Heading2"/>
        <w:keepNext/>
        <w:ind w:left="-5"/>
      </w:pPr>
      <w:r>
        <w:rPr>
          <w:rFonts w:ascii="Times New Roman" w:hAnsi="Times New Roman"/>
          <w:i/>
          <w:sz w:val="18"/>
        </w:rPr>
        <w:t>D. Model Selection and Resource Efficiency</w:t>
      </w:r>
    </w:p>
    <w:p w14:paraId="6E9052A4" w14:textId="77777777" w:rsidR="005340D8" w:rsidRDefault="00226A79">
      <w:pPr>
        <w:ind w:left="-5" w:right="44"/>
        <w:jc w:val="both"/>
      </w:pPr>
      <w:r>
        <w:rPr>
          <w:rFonts w:ascii="Times New Roman" w:hAnsi="Times New Roman"/>
          <w:sz w:val="18"/>
        </w:rPr>
        <w:t>Larger models (Llama-3-8B, GPT-4-class) offer stronger general reasoning but are often impractical for on-premise SOC deployment given privacy constraints and GPU requirements. Qwen2 0.5B was selected for the constrained task of parsing structured telemetry and mapping to ATT&amp;CK; the 0.35% (± 0.08) mean CPU overhead across n=3 trials suggests semantic interpretation can be integrated without dedicated GPU infrastructure, though this is based on a single small-parameter model and a synthetic workload and should not be generalised without further testing.</w:t>
      </w:r>
    </w:p>
    <w:p w14:paraId="31BF62E0" w14:textId="77777777" w:rsidR="005340D8" w:rsidRDefault="00226A79">
      <w:pPr>
        <w:pStyle w:val="Heading2"/>
        <w:keepNext/>
        <w:ind w:left="-5"/>
      </w:pPr>
      <w:r>
        <w:rPr>
          <w:rFonts w:ascii="Times New Roman" w:hAnsi="Times New Roman"/>
          <w:i/>
          <w:sz w:val="18"/>
        </w:rPr>
        <w:t>E. Ablation Analysis</w:t>
      </w:r>
    </w:p>
    <w:p w14:paraId="16410A9D" w14:textId="5148BD7D" w:rsidR="005340D8" w:rsidRDefault="00226A79">
      <w:pPr>
        <w:spacing w:after="147" w:line="248" w:lineRule="auto"/>
        <w:ind w:left="0" w:firstLine="0"/>
        <w:jc w:val="both"/>
      </w:pPr>
      <w:r>
        <w:rPr>
          <w:rFonts w:ascii="Times New Roman" w:hAnsi="Times New Roman"/>
          <w:sz w:val="18"/>
        </w:rPr>
        <w:t>Four configurations should ideally be compared: deterministic-only,</w:t>
      </w:r>
      <w:r>
        <w:rPr>
          <w:rFonts w:ascii="Times New Roman" w:hAnsi="Times New Roman"/>
          <w:sz w:val="18"/>
        </w:rPr>
        <w:tab/>
        <w:t xml:space="preserve"> </w:t>
      </w:r>
      <w:r>
        <w:rPr>
          <w:rFonts w:ascii="Times New Roman" w:hAnsi="Times New Roman"/>
          <w:sz w:val="18"/>
        </w:rPr>
        <w:tab/>
        <w:t>deterministic</w:t>
      </w:r>
      <w:r w:rsidR="006052FB">
        <w:rPr>
          <w:rFonts w:ascii="Times New Roman" w:hAnsi="Times New Roman"/>
          <w:sz w:val="18"/>
        </w:rPr>
        <w:t xml:space="preserve"> </w:t>
      </w:r>
      <w:r>
        <w:rPr>
          <w:rFonts w:ascii="Times New Roman" w:hAnsi="Times New Roman"/>
          <w:sz w:val="18"/>
        </w:rPr>
        <w:t>+</w:t>
      </w:r>
      <w:r w:rsidR="006052FB">
        <w:rPr>
          <w:rFonts w:ascii="Times New Roman" w:hAnsi="Times New Roman"/>
          <w:sz w:val="18"/>
        </w:rPr>
        <w:t xml:space="preserve"> </w:t>
      </w:r>
      <w:r>
        <w:rPr>
          <w:rFonts w:ascii="Times New Roman" w:hAnsi="Times New Roman"/>
          <w:sz w:val="18"/>
        </w:rPr>
        <w:t>active-simulation, deterministic</w:t>
      </w:r>
      <w:r w:rsidR="006052FB">
        <w:rPr>
          <w:rFonts w:ascii="Times New Roman" w:hAnsi="Times New Roman"/>
          <w:sz w:val="18"/>
        </w:rPr>
        <w:t xml:space="preserve"> </w:t>
      </w:r>
      <w:r>
        <w:rPr>
          <w:rFonts w:ascii="Times New Roman" w:hAnsi="Times New Roman"/>
          <w:sz w:val="18"/>
        </w:rPr>
        <w:t>+</w:t>
      </w:r>
      <w:r w:rsidR="006052FB">
        <w:rPr>
          <w:rFonts w:ascii="Times New Roman" w:hAnsi="Times New Roman"/>
          <w:sz w:val="18"/>
        </w:rPr>
        <w:t xml:space="preserve"> </w:t>
      </w:r>
      <w:r>
        <w:rPr>
          <w:rFonts w:ascii="Times New Roman" w:hAnsi="Times New Roman"/>
          <w:sz w:val="18"/>
        </w:rPr>
        <w:t>GenAI/RAG, and the complete system. This study empirically covers the first two via the analysis-engine benchmark above; active-simulation and complete-system configurations require the orchestrator (Section V-F) and are not yet evaluated.</w:t>
      </w:r>
    </w:p>
    <w:p w14:paraId="5840D757" w14:textId="77777777" w:rsidR="005340D8" w:rsidRDefault="00226A79">
      <w:pPr>
        <w:pStyle w:val="Heading2"/>
        <w:keepNext/>
        <w:ind w:left="-5"/>
      </w:pPr>
      <w:r>
        <w:rPr>
          <w:rFonts w:ascii="Times New Roman" w:hAnsi="Times New Roman"/>
          <w:i/>
          <w:sz w:val="18"/>
        </w:rPr>
        <w:t>F. Validity Threats</w:t>
      </w:r>
    </w:p>
    <w:p w14:paraId="4A92082F" w14:textId="77777777" w:rsidR="005340D8" w:rsidRDefault="00226A79">
      <w:pPr>
        <w:spacing w:after="226"/>
        <w:ind w:left="-5" w:right="44"/>
        <w:jc w:val="both"/>
      </w:pPr>
      <w:r>
        <w:rPr>
          <w:rFonts w:ascii="Times New Roman" w:hAnsi="Times New Roman"/>
          <w:sz w:val="18"/>
        </w:rPr>
        <w:t>Recorded for reproducibility: Qwen2 0.5B via Ollama, n=3 independent benchmark trials with per-trial and aggregated (mean ± standard deviation) figures reported in Section VIIIA. GenAI results can vary with model version, prompt, retrieval corpus and temperature; these were held constant but not varied systematically in this benchmark, and n=3 remains a limited sample for characterising variance.</w:t>
      </w:r>
    </w:p>
    <w:p w14:paraId="5F50DC46" w14:textId="77777777" w:rsidR="005340D8" w:rsidRDefault="00226A79">
      <w:pPr>
        <w:pStyle w:val="Heading1"/>
        <w:keepNext/>
      </w:pPr>
      <w:r>
        <w:rPr>
          <w:rFonts w:ascii="Times New Roman" w:hAnsi="Times New Roman"/>
          <w:b/>
          <w:sz w:val="20"/>
        </w:rPr>
        <w:t>IX. SECURITY, SAFETY AND ETHICAL CONSIDERATIONS</w:t>
      </w:r>
    </w:p>
    <w:p w14:paraId="3C1F442B" w14:textId="77777777" w:rsidR="005340D8" w:rsidRDefault="00226A79">
      <w:pPr>
        <w:spacing w:after="119"/>
        <w:ind w:left="-5" w:right="44"/>
        <w:jc w:val="both"/>
      </w:pPr>
      <w:r>
        <w:rPr>
          <w:rFonts w:ascii="Times New Roman" w:hAnsi="Times New Roman"/>
          <w:sz w:val="18"/>
        </w:rPr>
        <w:t>The laboratory must remain isolated from production networks with no unrestricted Internet access; C2 endpoints should be simulated or sinkholed. The GenAI service must not receive confidential enterprise data without authorisation, and must not execute commands, change VM snapshots, disable containment, or access malware binaries.</w:t>
      </w:r>
    </w:p>
    <w:p w14:paraId="1686FE30" w14:textId="77777777" w:rsidR="005340D8" w:rsidRDefault="00226A79">
      <w:pPr>
        <w:spacing w:after="226"/>
        <w:ind w:left="-5" w:right="44"/>
        <w:jc w:val="both"/>
      </w:pPr>
      <w:r>
        <w:rPr>
          <w:rFonts w:ascii="Times New Roman" w:hAnsi="Times New Roman"/>
          <w:sz w:val="18"/>
        </w:rPr>
        <w:t>AES-256-GCM provides authenticated encryption but does not by itself guarantee endpoint security or key-management correctness. Keys must be protected outside the guest, rotated per policy, and excluded from guest-accessible configuration.</w:t>
      </w:r>
    </w:p>
    <w:p w14:paraId="53D245BD" w14:textId="77777777" w:rsidR="005340D8" w:rsidRDefault="00226A79">
      <w:pPr>
        <w:pStyle w:val="Heading1"/>
        <w:keepNext/>
        <w:ind w:right="4"/>
      </w:pPr>
      <w:r>
        <w:rPr>
          <w:rFonts w:ascii="Times New Roman" w:hAnsi="Times New Roman"/>
          <w:b/>
          <w:sz w:val="20"/>
        </w:rPr>
        <w:t>X. DISCUSSION</w:t>
      </w:r>
    </w:p>
    <w:p w14:paraId="44CA3662" w14:textId="77777777" w:rsidR="005340D8" w:rsidRDefault="00226A79">
      <w:pPr>
        <w:spacing w:after="119"/>
        <w:ind w:left="-5" w:right="44"/>
        <w:jc w:val="both"/>
      </w:pPr>
      <w:r>
        <w:rPr>
          <w:rFonts w:ascii="Times New Roman" w:hAnsi="Times New Roman"/>
          <w:sz w:val="18"/>
        </w:rPr>
        <w:t>The architecture addresses three analytical problems — behavioural exposure, evidence integrity, and interpretive burden — that should be evaluated separately before claiming a combined effect. In this version, only the GenAI/RAG objective has been empirically evaluated.</w:t>
      </w:r>
    </w:p>
    <w:p w14:paraId="1C951576" w14:textId="77777777" w:rsidR="005340D8" w:rsidRDefault="00226A79">
      <w:pPr>
        <w:spacing w:after="226"/>
        <w:ind w:left="-5" w:right="44"/>
        <w:jc w:val="both"/>
      </w:pPr>
      <w:r>
        <w:rPr>
          <w:rFonts w:ascii="Times New Roman" w:hAnsi="Times New Roman"/>
          <w:sz w:val="18"/>
        </w:rPr>
        <w:t>The strongest methodological principle is the separation of evidence from interpretation: deterministic collection and rule-based scoring provide an auditable substrate, and GenAI returns a constrained explanation on top of it. This design permits ablation once the remaining arms are executed via the orchestrator. The explicit Unverified state is a core safety mechanism; the 0.00 unsupported-claim rate observed here is consistent with that intent, within the scope of the synthetic dataset tested.</w:t>
      </w:r>
    </w:p>
    <w:p w14:paraId="1E650AC3" w14:textId="77777777" w:rsidR="005340D8" w:rsidRDefault="00226A79">
      <w:pPr>
        <w:pStyle w:val="Heading1"/>
        <w:keepNext/>
      </w:pPr>
      <w:r>
        <w:rPr>
          <w:rFonts w:ascii="Times New Roman" w:hAnsi="Times New Roman"/>
          <w:b/>
          <w:sz w:val="20"/>
        </w:rPr>
        <w:t>XI. LIMITATIONS</w:t>
      </w:r>
    </w:p>
    <w:p w14:paraId="255AABD7" w14:textId="77777777" w:rsidR="005340D8" w:rsidRDefault="00226A79">
      <w:pPr>
        <w:spacing w:after="119"/>
        <w:ind w:left="-5" w:right="44"/>
        <w:jc w:val="both"/>
      </w:pPr>
      <w:r>
        <w:rPr>
          <w:rFonts w:ascii="Times New Roman" w:hAnsi="Times New Roman"/>
          <w:sz w:val="18"/>
        </w:rPr>
        <w:t>Heuristic weights are initial laboratory rules requiring recalibration; legitimate high-volume file/crypto operations may cause false positives. Active simulation can change execution paths; a Windows laboratory cannot represent every OS, topology or enterprise configuration.</w:t>
      </w:r>
    </w:p>
    <w:p w14:paraId="227F1825" w14:textId="77777777" w:rsidR="005340D8" w:rsidRDefault="00226A79">
      <w:pPr>
        <w:spacing w:after="119"/>
        <w:ind w:left="-5" w:right="44"/>
        <w:jc w:val="both"/>
      </w:pPr>
      <w:r>
        <w:rPr>
          <w:rFonts w:ascii="Times New Roman" w:hAnsi="Times New Roman"/>
          <w:sz w:val="18"/>
        </w:rPr>
        <w:t>GenAI introduces model-specific variability, retrieval dependency, inference cost and hallucination risk. Reproducibility parameters recorded: Qwen2 0.5B (Ollama), synthetic 100-trace corpus, n=3 independent benchmark trials; a larger trial count would give a more reliable variance estimate.</w:t>
      </w:r>
    </w:p>
    <w:p w14:paraId="00CE1066" w14:textId="77777777" w:rsidR="005340D8" w:rsidRDefault="00226A79">
      <w:pPr>
        <w:spacing w:after="119"/>
        <w:ind w:left="-5" w:right="44"/>
        <w:jc w:val="both"/>
      </w:pPr>
      <w:r>
        <w:rPr>
          <w:rFonts w:ascii="Times New Roman" w:hAnsi="Times New Roman"/>
          <w:sz w:val="18"/>
        </w:rPr>
        <w:t xml:space="preserve">The empirical results in Section VIII reflect an isolated analysis-engine benchmark on synthetic data, not end-to-end validation of the full sandbox (Section V). Full </w:t>
      </w:r>
      <w:r>
        <w:rPr>
          <w:rFonts w:ascii="Times New Roman" w:hAnsi="Times New Roman"/>
          <w:sz w:val="18"/>
        </w:rPr>
        <w:lastRenderedPageBreak/>
        <w:t>evaluation against live and held-out families (RQ1, RQ2, RQ3, RQ5) has not been conducted.</w:t>
      </w:r>
    </w:p>
    <w:p w14:paraId="7C57BB12" w14:textId="77777777" w:rsidR="005340D8" w:rsidRDefault="00226A79">
      <w:pPr>
        <w:spacing w:after="226"/>
        <w:ind w:left="-5" w:right="44"/>
        <w:jc w:val="both"/>
      </w:pPr>
      <w:r>
        <w:rPr>
          <w:rFonts w:ascii="Times New Roman" w:hAnsi="Times New Roman"/>
          <w:sz w:val="18"/>
        </w:rPr>
        <w:t>The false-positive-reduction goal (Section I-C) has not been empirically evaluated: current benign traces contain no ransomware-adjacent indicators and no ambiguous cases (e.g., legitimate vssadmin.exe use). Measuring false-positive performance on adversarial-benign traces is necessary future work.</w:t>
      </w:r>
    </w:p>
    <w:p w14:paraId="4CB08D36" w14:textId="77777777" w:rsidR="005340D8" w:rsidRDefault="00226A79">
      <w:pPr>
        <w:pStyle w:val="Heading1"/>
        <w:keepNext/>
        <w:ind w:right="53"/>
      </w:pPr>
      <w:r>
        <w:rPr>
          <w:rFonts w:ascii="Times New Roman" w:hAnsi="Times New Roman"/>
          <w:b/>
          <w:sz w:val="20"/>
        </w:rPr>
        <w:t>XII. CONCLUSION</w:t>
      </w:r>
    </w:p>
    <w:p w14:paraId="2C2636BF" w14:textId="24B3E9C4" w:rsidR="005340D8" w:rsidRDefault="00226A79">
      <w:pPr>
        <w:spacing w:after="119"/>
        <w:ind w:left="-5" w:right="44"/>
        <w:jc w:val="both"/>
      </w:pPr>
      <w:r>
        <w:rPr>
          <w:rFonts w:ascii="Times New Roman" w:hAnsi="Times New Roman"/>
          <w:sz w:val="18"/>
        </w:rPr>
        <w:t>This paper presents a secure hybrid ransomware-analysis sandbox combining active vulnerability simulation, out-of</w:t>
      </w:r>
      <w:r w:rsidR="006052FB">
        <w:rPr>
          <w:rFonts w:ascii="Times New Roman" w:hAnsi="Times New Roman"/>
          <w:sz w:val="18"/>
        </w:rPr>
        <w:t>-</w:t>
      </w:r>
      <w:r>
        <w:rPr>
          <w:rFonts w:ascii="Times New Roman" w:hAnsi="Times New Roman"/>
          <w:sz w:val="18"/>
        </w:rPr>
        <w:t>band network observation, deterministic detection, authenticated telemetry, bounded GenAI/RAG interpretation, and a fully implemented hypervisor-based orchestrator. We empirically evaluated the GenAI analysis engine, providing initial evidence for RQ4: localised LLMs can semantically contextualise ransomware telemetry — correctly mapping a mean of 45% (± 3%) of malicious traces to ATT&amp;CK techniques and identifying a mean of 50% (± 8%) of simulated tampering events across n=3 independent trials — without hallucinating incorrect mappings, within the scope of this synthetic evaluation.</w:t>
      </w:r>
    </w:p>
    <w:p w14:paraId="510F06F7" w14:textId="251BBF06" w:rsidR="005340D8" w:rsidRDefault="00226A79">
      <w:pPr>
        <w:spacing w:after="186"/>
        <w:ind w:left="-5" w:right="44"/>
        <w:jc w:val="both"/>
      </w:pPr>
      <w:r>
        <w:rPr>
          <w:rFonts w:ascii="Times New Roman" w:hAnsi="Times New Roman"/>
          <w:sz w:val="18"/>
        </w:rPr>
        <w:t>The architecture needed to investigate RQ1, RQ2, RQ3 and RQ5 has been implemented, but these remain empirically unanswered. The framework is designed to reduce false positives via contextual disambiguation; validating this against adversarial-benign traces remains future work. The principal contribution is the separation of trusted evidence collection from model-based interpretation within a reproducible, openly available implementation. A subsequent version should report end-to-end orchestrator-driven detonation results before any claim regarding active</w:t>
      </w:r>
      <w:r w:rsidR="006052FB">
        <w:rPr>
          <w:rFonts w:ascii="Times New Roman" w:hAnsi="Times New Roman"/>
          <w:sz w:val="18"/>
        </w:rPr>
        <w:t xml:space="preserve"> </w:t>
      </w:r>
      <w:r>
        <w:rPr>
          <w:rFonts w:ascii="Times New Roman" w:hAnsi="Times New Roman"/>
          <w:sz w:val="18"/>
        </w:rPr>
        <w:t>simulation coverage or family generalisation is made.</w:t>
      </w:r>
    </w:p>
    <w:p w14:paraId="488B19CE" w14:textId="77777777" w:rsidR="005340D8" w:rsidRDefault="00226A79">
      <w:pPr>
        <w:pStyle w:val="Heading1"/>
        <w:keepNext/>
        <w:ind w:right="52"/>
        <w:jc w:val="center"/>
      </w:pPr>
      <w:r>
        <w:t>REFERENCES</w:t>
      </w:r>
    </w:p>
    <w:p w14:paraId="1B69D924" w14:textId="77777777" w:rsidR="005340D8" w:rsidRDefault="00226A79">
      <w:pPr>
        <w:spacing w:after="124" w:line="307" w:lineRule="auto"/>
        <w:ind w:right="5" w:hanging="306"/>
        <w:jc w:val="left"/>
      </w:pPr>
      <w:r>
        <w:rPr>
          <w:rFonts w:ascii="Times New Roman" w:hAnsi="Times New Roman"/>
          <w:sz w:val="16"/>
        </w:rPr>
        <w:t>[1] M. Sikorski and A. Honig, Practical Malware Analysis. San Francisco, CA: No Starch Press, 2012.</w:t>
      </w:r>
    </w:p>
    <w:p w14:paraId="46BC03BC" w14:textId="77777777" w:rsidR="005340D8" w:rsidRDefault="00226A79">
      <w:pPr>
        <w:spacing w:after="124" w:line="307" w:lineRule="auto"/>
        <w:ind w:right="5" w:hanging="306"/>
        <w:jc w:val="left"/>
      </w:pPr>
      <w:r>
        <w:rPr>
          <w:rFonts w:ascii="Times New Roman" w:hAnsi="Times New Roman"/>
          <w:sz w:val="16"/>
        </w:rPr>
        <w:t>[2] NIST, Recommendation for Block Cipher Modes of Operation: GCM and GMAC, NIST SP 800-38D, 2007.</w:t>
      </w:r>
    </w:p>
    <w:p w14:paraId="35E80BFA" w14:textId="77777777" w:rsidR="005340D8" w:rsidRDefault="00226A79">
      <w:pPr>
        <w:spacing w:after="124" w:line="307" w:lineRule="auto"/>
        <w:ind w:right="5" w:hanging="306"/>
        <w:jc w:val="left"/>
      </w:pPr>
      <w:r>
        <w:rPr>
          <w:rFonts w:ascii="Times New Roman" w:hAnsi="Times New Roman"/>
          <w:sz w:val="16"/>
        </w:rPr>
        <w:t>[3] MITRE, MITRE ATT&amp;CK Enterprise. [Online]. Available: https://attack.mitre.org/</w:t>
      </w:r>
    </w:p>
    <w:p w14:paraId="22205701" w14:textId="77777777" w:rsidR="005340D8" w:rsidRDefault="00226A79">
      <w:pPr>
        <w:spacing w:after="7" w:line="307" w:lineRule="auto"/>
        <w:ind w:right="5" w:hanging="306"/>
        <w:jc w:val="left"/>
      </w:pPr>
      <w:r>
        <w:rPr>
          <w:rFonts w:ascii="Times New Roman" w:hAnsi="Times New Roman"/>
          <w:sz w:val="16"/>
        </w:rPr>
        <w:t xml:space="preserve">[4] Cuckoo Foundation, Cuckoo Sandbox Documentation. [Online]. </w:t>
      </w:r>
    </w:p>
    <w:p w14:paraId="4DB68B64" w14:textId="77777777" w:rsidR="005340D8" w:rsidRDefault="00226A79">
      <w:pPr>
        <w:spacing w:after="124" w:line="307" w:lineRule="auto"/>
        <w:ind w:left="-5" w:right="5"/>
        <w:jc w:val="left"/>
      </w:pPr>
      <w:r>
        <w:rPr>
          <w:rFonts w:ascii="Times New Roman" w:hAnsi="Times New Roman"/>
          <w:sz w:val="16"/>
        </w:rPr>
        <w:t>https://cuckoo.readthedocs.io/</w:t>
      </w:r>
    </w:p>
    <w:p w14:paraId="6F0E66D9" w14:textId="77777777" w:rsidR="005340D8" w:rsidRDefault="00226A79">
      <w:pPr>
        <w:spacing w:after="124" w:line="307" w:lineRule="auto"/>
        <w:ind w:right="5" w:hanging="306"/>
        <w:jc w:val="left"/>
      </w:pPr>
      <w:r>
        <w:rPr>
          <w:rFonts w:ascii="Times New Roman" w:hAnsi="Times New Roman"/>
          <w:sz w:val="16"/>
        </w:rPr>
        <w:t>[5] CAPE Sandbox Project, CAPE Documentation. [Online]. https://capev2.readthedocs.io/</w:t>
      </w:r>
    </w:p>
    <w:p w14:paraId="168C85C6" w14:textId="77777777" w:rsidR="005340D8" w:rsidRDefault="00226A79">
      <w:pPr>
        <w:spacing w:after="124" w:line="307" w:lineRule="auto"/>
        <w:ind w:right="5" w:hanging="306"/>
        <w:jc w:val="left"/>
      </w:pPr>
      <w:r>
        <w:rPr>
          <w:rFonts w:ascii="Times New Roman" w:hAnsi="Times New Roman"/>
          <w:sz w:val="16"/>
        </w:rPr>
        <w:t>[6] D. M. Divakaran and S. T. Peddinti, "Large language models for cybersecurity: New opportunities," IEEE Security &amp; Privacy, 2024.</w:t>
      </w:r>
    </w:p>
    <w:p w14:paraId="27F4C8FC" w14:textId="77777777" w:rsidR="005340D8" w:rsidRDefault="00226A79">
      <w:pPr>
        <w:spacing w:after="124" w:line="307" w:lineRule="auto"/>
        <w:ind w:right="5" w:hanging="306"/>
        <w:jc w:val="left"/>
      </w:pPr>
      <w:r>
        <w:rPr>
          <w:rFonts w:ascii="Times New Roman" w:hAnsi="Times New Roman"/>
          <w:sz w:val="16"/>
        </w:rPr>
        <w:t>[7] P. Lewis et al., "Retrieval-augmented generation for knowledgeintensive NLP tasks," NeurIPS 33, 2020.</w:t>
      </w:r>
    </w:p>
    <w:p w14:paraId="74CF2D08" w14:textId="77777777" w:rsidR="005340D8" w:rsidRDefault="00226A79">
      <w:pPr>
        <w:spacing w:after="0" w:line="307" w:lineRule="auto"/>
        <w:ind w:right="5" w:hanging="306"/>
        <w:jc w:val="left"/>
      </w:pPr>
      <w:r>
        <w:rPr>
          <w:rFonts w:ascii="Times New Roman" w:hAnsi="Times New Roman"/>
          <w:sz w:val="16"/>
        </w:rPr>
        <w:t xml:space="preserve">[8] Y. Chen et al., "A survey of large language models for cyber threat detection," Computers &amp; Security, vol. 145, 2024, doi: </w:t>
      </w:r>
    </w:p>
    <w:p w14:paraId="4AFF82AB" w14:textId="77777777" w:rsidR="005340D8" w:rsidRDefault="00226A79">
      <w:pPr>
        <w:spacing w:after="124" w:line="307" w:lineRule="auto"/>
        <w:ind w:left="-5" w:right="5"/>
        <w:jc w:val="left"/>
      </w:pPr>
      <w:r>
        <w:rPr>
          <w:rFonts w:ascii="Times New Roman" w:hAnsi="Times New Roman"/>
          <w:sz w:val="16"/>
        </w:rPr>
        <w:t>10.1016/j.cose.2024.104016.</w:t>
      </w:r>
    </w:p>
    <w:p w14:paraId="4744B037" w14:textId="77777777" w:rsidR="005340D8" w:rsidRDefault="00226A79">
      <w:pPr>
        <w:spacing w:after="0" w:line="307" w:lineRule="auto"/>
        <w:ind w:right="5" w:hanging="306"/>
        <w:jc w:val="left"/>
      </w:pPr>
      <w:r>
        <w:rPr>
          <w:rFonts w:ascii="Times New Roman" w:hAnsi="Times New Roman"/>
          <w:sz w:val="16"/>
        </w:rPr>
        <w:t xml:space="preserve">[9] G. Can, H. H. Kilinc, I. Gulataş, and A. H. Zaim, "Dynamic ransomware analysis using CAPEv2 and RAG," Proc. UBMK, 2025, doi: </w:t>
      </w:r>
    </w:p>
    <w:p w14:paraId="3128FC82" w14:textId="77777777" w:rsidR="005340D8" w:rsidRDefault="00226A79">
      <w:pPr>
        <w:spacing w:after="124" w:line="307" w:lineRule="auto"/>
        <w:ind w:left="-5" w:right="5"/>
        <w:jc w:val="left"/>
      </w:pPr>
      <w:r>
        <w:rPr>
          <w:rFonts w:ascii="Times New Roman" w:hAnsi="Times New Roman"/>
          <w:sz w:val="16"/>
        </w:rPr>
        <w:t>10.1109/UBMK67458.2025.11206796.</w:t>
      </w:r>
    </w:p>
    <w:p w14:paraId="0C6BC87E" w14:textId="77777777" w:rsidR="005340D8" w:rsidRDefault="00226A79">
      <w:pPr>
        <w:spacing w:after="0" w:line="307" w:lineRule="auto"/>
        <w:ind w:right="5" w:hanging="306"/>
        <w:jc w:val="left"/>
      </w:pPr>
      <w:r>
        <w:rPr>
          <w:rFonts w:ascii="Times New Roman" w:hAnsi="Times New Roman"/>
          <w:sz w:val="16"/>
        </w:rPr>
        <w:t xml:space="preserve">[10] "LLM-RD: Multi-dimensional lightweight ransomware detection using LLMs based on kernel-level events," Proc. MSN, 2025, doi: </w:t>
      </w:r>
    </w:p>
    <w:p w14:paraId="1DF74545" w14:textId="77777777" w:rsidR="005340D8" w:rsidRDefault="00226A79">
      <w:pPr>
        <w:spacing w:after="124" w:line="307" w:lineRule="auto"/>
        <w:ind w:left="-5" w:right="5"/>
        <w:jc w:val="left"/>
      </w:pPr>
      <w:r>
        <w:rPr>
          <w:rFonts w:ascii="Times New Roman" w:hAnsi="Times New Roman"/>
          <w:sz w:val="16"/>
        </w:rPr>
        <w:t>10.1109/MSN69125.2025.00028.</w:t>
      </w:r>
    </w:p>
    <w:p w14:paraId="32292416" w14:textId="77777777" w:rsidR="005340D8" w:rsidRDefault="00226A79">
      <w:pPr>
        <w:spacing w:after="124" w:line="307" w:lineRule="auto"/>
        <w:ind w:right="5" w:hanging="306"/>
        <w:jc w:val="left"/>
      </w:pPr>
      <w:r>
        <w:rPr>
          <w:rFonts w:ascii="Times New Roman" w:hAnsi="Times New Roman"/>
          <w:sz w:val="16"/>
        </w:rPr>
        <w:t>[11] Qwen Team, "Qwen2 Technical Report," arXiv:2407.10671, 2024.</w:t>
      </w:r>
    </w:p>
    <w:sectPr w:rsidR="005340D8" w:rsidSect="007959C2">
      <w:type w:val="continuous"/>
      <w:pgSz w:w="12240" w:h="15840" w:code="9"/>
      <w:pgMar w:top="1008" w:right="936" w:bottom="1008" w:left="936" w:header="432" w:footer="432" w:gutter="0"/>
      <w:cols w:num="2" w:space="288"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4D07" w14:textId="77777777" w:rsidR="00AE586A" w:rsidRDefault="00AE586A" w:rsidP="00D17A34">
      <w:pPr>
        <w:spacing w:after="0" w:line="240" w:lineRule="auto"/>
      </w:pPr>
      <w:r>
        <w:separator/>
      </w:r>
    </w:p>
  </w:endnote>
  <w:endnote w:type="continuationSeparator" w:id="0">
    <w:p w14:paraId="3FDCDA42" w14:textId="77777777" w:rsidR="00AE586A" w:rsidRDefault="00AE586A" w:rsidP="00D17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4D7F" w14:textId="77777777" w:rsidR="00AE586A" w:rsidRDefault="00AE586A" w:rsidP="00D17A34">
      <w:pPr>
        <w:spacing w:after="0" w:line="240" w:lineRule="auto"/>
      </w:pPr>
      <w:r>
        <w:separator/>
      </w:r>
    </w:p>
  </w:footnote>
  <w:footnote w:type="continuationSeparator" w:id="0">
    <w:p w14:paraId="18167C82" w14:textId="77777777" w:rsidR="00AE586A" w:rsidRDefault="00AE586A" w:rsidP="00D17A3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p>
  <w:p>
    <w:pPr>
      <w:ind w:right="360"/>
    </w:pPr>
    <w:r>
      <w:rPr>
        <w:rFonts w:ascii="Times New Roman" w:hAnsi="Times New Roman"/>
        <w:sz w:val="16"/>
      </w:rPr>
      <w:t>T-IFS-28718-2026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B4462"/>
    <w:multiLevelType w:val="hybridMultilevel"/>
    <w:tmpl w:val="B8483DA0"/>
    <w:lvl w:ilvl="0" w:tplc="AE0A5856">
      <w:start w:val="1"/>
      <w:numFmt w:val="decimal"/>
      <w:lvlText w:val="[%1]"/>
      <w:lvlJc w:val="left"/>
      <w:pPr>
        <w:ind w:left="30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596F2C4">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43CDD0A">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D4C9D6E">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C5CA4A4">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B28460C">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DFAF33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E04A030">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3C4F15C">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737359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0D8"/>
    <w:rsid w:val="0016357F"/>
    <w:rsid w:val="001C796C"/>
    <w:rsid w:val="00226A79"/>
    <w:rsid w:val="00243890"/>
    <w:rsid w:val="00256B5A"/>
    <w:rsid w:val="002B0FF8"/>
    <w:rsid w:val="002B62FF"/>
    <w:rsid w:val="003773BA"/>
    <w:rsid w:val="005340D8"/>
    <w:rsid w:val="006052FB"/>
    <w:rsid w:val="007959C2"/>
    <w:rsid w:val="007F23B0"/>
    <w:rsid w:val="008B4741"/>
    <w:rsid w:val="00990AC1"/>
    <w:rsid w:val="00A403D6"/>
    <w:rsid w:val="00AE586A"/>
    <w:rsid w:val="00D1743A"/>
    <w:rsid w:val="00D17A34"/>
    <w:rsid w:val="00DE4D2E"/>
    <w:rsid w:val="00F64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7D9E"/>
  <w15:docId w15:val="{8A4F166B-324D-4294-B598-C61DE4B5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47" w:lineRule="auto"/>
      <w:ind w:left="15" w:hanging="10"/>
      <w:jc w:val="both"/>
    </w:pPr>
    <w:rPr>
      <w:rFonts w:ascii="Times New Roman" w:eastAsia="Times New Roman" w:hAnsi="Times New Roman" w:cs="Calibri"/>
      <w:color w:val="000000"/>
      <w:sz w:val="18"/>
    </w:rPr>
  </w:style>
  <w:style w:type="paragraph" w:styleId="Heading1">
    <w:name w:val="heading 1"/>
    <w:next w:val="Normal"/>
    <w:link w:val="Heading1Char"/>
    <w:uiPriority w:val="9"/>
    <w:qFormat/>
    <w:pPr>
      <w:keepNext/>
      <w:keepLines/>
      <w:spacing w:after="60" w:line="259" w:lineRule="auto" w:before="140"/>
      <w:ind w:left="10" w:right="6" w:hanging="10"/>
      <w:jc w:val="center"/>
      <w:outlineLvl w:val="0"/>
    </w:pPr>
    <w:rPr>
      <w:rFonts w:ascii="Times New Roman" w:eastAsia="Calibri" w:hAnsi="Times New Roman" w:cs="Calibri"/>
      <w:b/>
      <w:smallCaps/>
      <w:color w:val="000000"/>
      <w:sz w:val="20"/>
    </w:rPr>
  </w:style>
  <w:style w:type="paragraph" w:styleId="Heading2">
    <w:name w:val="heading 2"/>
    <w:next w:val="Normal"/>
    <w:link w:val="Heading2Char"/>
    <w:uiPriority w:val="9"/>
    <w:unhideWhenUsed/>
    <w:qFormat/>
    <w:pPr>
      <w:keepNext/>
      <w:keepLines/>
      <w:spacing w:after="40" w:line="259" w:lineRule="auto" w:before="80"/>
      <w:ind w:left="10" w:hanging="10"/>
      <w:jc w:val="left"/>
      <w:outlineLvl w:val="1"/>
    </w:pPr>
    <w:rPr>
      <w:rFonts w:ascii="Times New Roman" w:eastAsia="Calibri" w:hAnsi="Times New Roman" w:cs="Calibri"/>
      <w:b w:val="0"/>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0"/>
    </w:rPr>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17A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A34"/>
    <w:rPr>
      <w:rFonts w:ascii="Calibri" w:eastAsia="Calibri" w:hAnsi="Calibri" w:cs="Calibri"/>
      <w:color w:val="000000"/>
      <w:sz w:val="20"/>
    </w:rPr>
  </w:style>
  <w:style w:type="paragraph" w:styleId="Footer">
    <w:name w:val="footer"/>
    <w:basedOn w:val="Normal"/>
    <w:link w:val="FooterChar"/>
    <w:uiPriority w:val="99"/>
    <w:unhideWhenUsed/>
    <w:rsid w:val="00D17A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A34"/>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4661</Words>
  <Characters>26574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Secure Hybrid Sandbox for Ransomware Behaviour Analysis Using Active Vulnerability Simulation and Generative AI-Assisted Telemetry Interpretation</dc:title>
  <dc:subject>IEEE Transactions on Information Forensics and Security</dc:subject>
  <dc:creator>Un-named</dc:creator>
  <cp:keywords/>
  <cp:lastModifiedBy>Vinit Chakane</cp:lastModifiedBy>
  <cp:revision>5</cp:revision>
  <cp:lastPrinted>2026-08-20T00:29:00Z</cp:lastPrinted>
  <dcterms:created xsi:type="dcterms:W3CDTF">2026-08-20T11:07:00Z</dcterms:created>
  <dcterms:modified xsi:type="dcterms:W3CDTF">2026-09-22T16:27:00Z</dcterms:modified>
</cp:coreProperties>
</file>