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Attributes, getters, setters - Text directions, references and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Student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attr_accessor :first_name, :last_name, :email, :username, :password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initialize(firstname, lastname, username, email, password)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@first_name = firstname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@last_name = lastname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@username = username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@email = 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@password =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to_s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"First name: #{@first_name}, Last name: #{@last_name}, Username: #{@username},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                 email address: #{@email}"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mashrur = Student.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"Mashrur"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"Hossain"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"mashrur1"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"mashrur@example.com"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john = Student.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"john1"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"john1@example.com"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puts mashrur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puts john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mashrur.last_name = john.last_name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puts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rtl w:val="0"/>
        </w:rPr>
        <w:t xml:space="preserve">"Mashrur is altered"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rtl w:val="0"/>
        </w:rPr>
        <w:t xml:space="preserve">puts mashrur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