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55CE3" w14:textId="614E9F34" w:rsidR="006F2185" w:rsidRPr="006F2185" w:rsidRDefault="006F2185" w:rsidP="006F2185">
      <w:pPr>
        <w:jc w:val="center"/>
        <w:rPr>
          <w:b/>
          <w:bCs/>
          <w:sz w:val="48"/>
          <w:szCs w:val="48"/>
          <w:lang w:val="en-US"/>
        </w:rPr>
      </w:pPr>
      <w:r w:rsidRPr="006F2185">
        <w:rPr>
          <w:b/>
          <w:bCs/>
          <w:sz w:val="48"/>
          <w:szCs w:val="48"/>
          <w:lang w:val="en-US"/>
        </w:rPr>
        <w:t>Report</w:t>
      </w:r>
    </w:p>
    <w:p w14:paraId="67BA89CB" w14:textId="755205A6" w:rsidR="006F2185" w:rsidRPr="00F22F28" w:rsidRDefault="006F2185" w:rsidP="006F2185">
      <w:pPr>
        <w:jc w:val="center"/>
        <w:rPr>
          <w:b/>
          <w:sz w:val="32"/>
          <w:szCs w:val="32"/>
          <w:lang w:val="en-US"/>
        </w:rPr>
      </w:pPr>
    </w:p>
    <w:tbl>
      <w:tblPr>
        <w:tblStyle w:val="TableGrid"/>
        <w:tblW w:w="0" w:type="auto"/>
        <w:tblInd w:w="-5" w:type="dxa"/>
        <w:tblLook w:val="04A0" w:firstRow="1" w:lastRow="0" w:firstColumn="1" w:lastColumn="0" w:noHBand="0" w:noVBand="1"/>
      </w:tblPr>
      <w:tblGrid>
        <w:gridCol w:w="4508"/>
        <w:gridCol w:w="4508"/>
      </w:tblGrid>
      <w:tr w:rsidR="006F2185" w14:paraId="51FE76A5" w14:textId="77777777" w:rsidTr="004B18FB">
        <w:tc>
          <w:tcPr>
            <w:tcW w:w="4508" w:type="dxa"/>
          </w:tcPr>
          <w:p w14:paraId="7A450C01" w14:textId="77777777" w:rsidR="006F2185" w:rsidRDefault="006F2185" w:rsidP="004B18FB">
            <w:pPr>
              <w:rPr>
                <w:lang w:val="en-US"/>
              </w:rPr>
            </w:pPr>
            <w:r w:rsidRPr="00FB30C4">
              <w:rPr>
                <w:lang w:val="en-US"/>
              </w:rPr>
              <w:t xml:space="preserve">Team ID </w:t>
            </w:r>
          </w:p>
        </w:tc>
        <w:tc>
          <w:tcPr>
            <w:tcW w:w="4508" w:type="dxa"/>
          </w:tcPr>
          <w:p w14:paraId="45EA8BB5" w14:textId="5E35E26F" w:rsidR="006F2185" w:rsidRDefault="00700D9A" w:rsidP="004B18FB">
            <w:pPr>
              <w:rPr>
                <w:lang w:val="en-US"/>
              </w:rPr>
            </w:pPr>
            <w:r>
              <w:rPr>
                <w:lang w:val="en-US"/>
              </w:rPr>
              <w:t>Individual</w:t>
            </w:r>
          </w:p>
        </w:tc>
      </w:tr>
      <w:tr w:rsidR="006F2185" w14:paraId="6DE4314B" w14:textId="77777777" w:rsidTr="004B18FB">
        <w:tc>
          <w:tcPr>
            <w:tcW w:w="4508" w:type="dxa"/>
          </w:tcPr>
          <w:p w14:paraId="2A1A7441" w14:textId="77777777" w:rsidR="006F2185" w:rsidRDefault="006F2185" w:rsidP="004B18FB">
            <w:pPr>
              <w:rPr>
                <w:lang w:val="en-US"/>
              </w:rPr>
            </w:pPr>
            <w:r w:rsidRPr="00FB30C4">
              <w:rPr>
                <w:lang w:val="en-US"/>
              </w:rPr>
              <w:t>Project Title</w:t>
            </w:r>
          </w:p>
        </w:tc>
        <w:tc>
          <w:tcPr>
            <w:tcW w:w="4508" w:type="dxa"/>
          </w:tcPr>
          <w:p w14:paraId="53EAB30F" w14:textId="18A0BC05" w:rsidR="006F2185" w:rsidRDefault="006F2185" w:rsidP="004B18FB">
            <w:pPr>
              <w:rPr>
                <w:lang w:val="en-US"/>
              </w:rPr>
            </w:pPr>
            <w:r>
              <w:rPr>
                <w:b/>
                <w:bCs/>
              </w:rPr>
              <w:t>Smartphone Usage,</w:t>
            </w:r>
            <w:r w:rsidR="004064A0">
              <w:rPr>
                <w:b/>
                <w:bCs/>
              </w:rPr>
              <w:t xml:space="preserve"> </w:t>
            </w:r>
            <w:r>
              <w:rPr>
                <w:b/>
                <w:bCs/>
              </w:rPr>
              <w:t>Digital Addiction &amp; Well-Being Analytics</w:t>
            </w:r>
          </w:p>
        </w:tc>
      </w:tr>
      <w:tr w:rsidR="006F2185" w14:paraId="3687AAF2" w14:textId="77777777" w:rsidTr="004B18FB">
        <w:tc>
          <w:tcPr>
            <w:tcW w:w="4508" w:type="dxa"/>
          </w:tcPr>
          <w:p w14:paraId="66440B32" w14:textId="77777777" w:rsidR="006F2185" w:rsidRDefault="006F2185" w:rsidP="004B18FB">
            <w:pPr>
              <w:rPr>
                <w:lang w:val="en-US"/>
              </w:rPr>
            </w:pPr>
            <w:r w:rsidRPr="00FB30C4">
              <w:rPr>
                <w:lang w:val="en-US"/>
              </w:rPr>
              <w:t>Maximum Marks</w:t>
            </w:r>
          </w:p>
        </w:tc>
        <w:tc>
          <w:tcPr>
            <w:tcW w:w="4508" w:type="dxa"/>
          </w:tcPr>
          <w:p w14:paraId="5B6E6E3B" w14:textId="799C039D" w:rsidR="006F2185" w:rsidRDefault="006F2185" w:rsidP="004B18FB">
            <w:pPr>
              <w:rPr>
                <w:lang w:val="en-US"/>
              </w:rPr>
            </w:pPr>
            <w:r>
              <w:rPr>
                <w:lang w:val="en-US"/>
              </w:rPr>
              <w:t xml:space="preserve">5 </w:t>
            </w:r>
            <w:r w:rsidRPr="00FB30C4">
              <w:rPr>
                <w:lang w:val="en-US"/>
              </w:rPr>
              <w:t>Marks</w:t>
            </w:r>
          </w:p>
        </w:tc>
      </w:tr>
    </w:tbl>
    <w:p w14:paraId="6181372B" w14:textId="77777777" w:rsidR="006F2185" w:rsidRPr="006F2185" w:rsidRDefault="006F2185" w:rsidP="006F2185">
      <w:pPr>
        <w:rPr>
          <w:lang w:val="en-US"/>
        </w:rPr>
      </w:pPr>
    </w:p>
    <w:p w14:paraId="352E5080" w14:textId="77777777" w:rsidR="006F2185" w:rsidRPr="006F2185" w:rsidRDefault="006F2185" w:rsidP="006F2185">
      <w:pPr>
        <w:rPr>
          <w:lang w:val="en-US"/>
        </w:rPr>
      </w:pPr>
      <w:r w:rsidRPr="006F2185">
        <w:rPr>
          <w:lang w:val="en-US"/>
        </w:rP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4CD31D35" w14:textId="77777777" w:rsidR="006F2185" w:rsidRDefault="006F2185" w:rsidP="006F2185">
      <w:pPr>
        <w:rPr>
          <w:lang w:val="en-US"/>
        </w:rPr>
      </w:pPr>
      <w:r w:rsidRPr="006F2185">
        <w:rPr>
          <w:lang w:val="en-US"/>
        </w:rP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08192E98" w14:textId="01DBD794" w:rsidR="006F2185" w:rsidRPr="006F2185" w:rsidRDefault="006F2185" w:rsidP="006F2185">
      <w:pPr>
        <w:rPr>
          <w:lang w:val="en-US"/>
        </w:rPr>
      </w:pPr>
      <w:r>
        <w:rPr>
          <w:noProof/>
          <w:lang w:val="en-US"/>
        </w:rPr>
        <w:drawing>
          <wp:inline distT="0" distB="0" distL="0" distR="0" wp14:anchorId="69E9FF63" wp14:editId="086C8140">
            <wp:extent cx="5731510" cy="32245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p>
    <w:p w14:paraId="5A146ADF" w14:textId="45A72AB9" w:rsidR="006F2185" w:rsidRPr="006F2185" w:rsidRDefault="006F2185" w:rsidP="006F2185">
      <w:pPr>
        <w:rPr>
          <w:b/>
          <w:bCs/>
          <w:lang w:val="en-US"/>
        </w:rPr>
      </w:pPr>
      <w:r w:rsidRPr="006F2185">
        <w:rPr>
          <w:b/>
          <w:bCs/>
          <w:lang w:val="en-US"/>
        </w:rPr>
        <w:t>Observations Derived from User Screen Time &amp; Addiction Level Analysis</w:t>
      </w:r>
    </w:p>
    <w:p w14:paraId="5C54C713" w14:textId="77777777" w:rsidR="006F2185" w:rsidRPr="006F2185" w:rsidRDefault="006F2185" w:rsidP="006F2185">
      <w:pPr>
        <w:rPr>
          <w:lang w:val="en-US"/>
        </w:rPr>
      </w:pPr>
      <w:r w:rsidRPr="006F2185">
        <w:rPr>
          <w:lang w:val="en-US"/>
        </w:rPr>
        <w:lastRenderedPageBreak/>
        <w:t>Observations drawn from reports in Power BI provide valuable insights into behavioral performance, user trends, and psychological impacts.</w:t>
      </w:r>
    </w:p>
    <w:p w14:paraId="3B660A7B" w14:textId="77777777" w:rsidR="006F2185" w:rsidRPr="006F2185" w:rsidRDefault="006F2185" w:rsidP="006F2185">
      <w:pPr>
        <w:rPr>
          <w:lang w:val="en-US"/>
        </w:rPr>
      </w:pPr>
      <w:r w:rsidRPr="006F2185">
        <w:rPr>
          <w:b/>
          <w:lang w:val="en-US"/>
        </w:rPr>
        <w:t>1. Trends Over Time &amp; Usage Type:</w:t>
      </w:r>
      <w:r w:rsidRPr="006F2185">
        <w:rPr>
          <w:lang w:val="en-US"/>
        </w:rPr>
        <w:t xml:space="preserve"> Analyze how screen time metrics (e.g., social media hours vs. gaming hours) behave across different usage scenarios to identify lifestyle habits or sudden spikes during weekends.</w:t>
      </w:r>
    </w:p>
    <w:p w14:paraId="54ACDDB5" w14:textId="77777777" w:rsidR="006F2185" w:rsidRPr="006F2185" w:rsidRDefault="006F2185" w:rsidP="006F2185">
      <w:pPr>
        <w:rPr>
          <w:lang w:val="en-US"/>
        </w:rPr>
      </w:pPr>
      <w:r w:rsidRPr="006F2185">
        <w:rPr>
          <w:b/>
          <w:lang w:val="en-US"/>
        </w:rPr>
        <w:t>2. Performance &amp; Demographics Comparisons:</w:t>
      </w:r>
      <w:r w:rsidRPr="006F2185">
        <w:rPr>
          <w:lang w:val="en-US"/>
        </w:rPr>
        <w:t xml:space="preserve"> Compare performance metrics across different category divisions, such as gender profiles or age groups, to determine which areas demonstrate extreme usage patterns or balanced lifestyles.</w:t>
      </w:r>
    </w:p>
    <w:p w14:paraId="06C25E78" w14:textId="77777777" w:rsidR="006F2185" w:rsidRPr="006F2185" w:rsidRDefault="006F2185" w:rsidP="006F2185">
      <w:pPr>
        <w:rPr>
          <w:lang w:val="en-US"/>
        </w:rPr>
      </w:pPr>
      <w:r w:rsidRPr="006F2185">
        <w:rPr>
          <w:b/>
          <w:lang w:val="en-US"/>
        </w:rPr>
        <w:t>3. User &amp; Behavioral Segmentation:</w:t>
      </w:r>
      <w:r w:rsidRPr="006F2185">
        <w:rPr>
          <w:lang w:val="en-US"/>
        </w:rPr>
        <w:t xml:space="preserve"> Assess multi-layered diagnostic data (such as stress levels, sleep hours, and active notification triggers) to deeply understand user segments and tailor target interventions or wellness strategies.</w:t>
      </w:r>
    </w:p>
    <w:p w14:paraId="69AEE2C7" w14:textId="77777777" w:rsidR="006F2185" w:rsidRDefault="006F2185" w:rsidP="006F2185">
      <w:pPr>
        <w:rPr>
          <w:lang w:val="en-US"/>
        </w:rPr>
      </w:pPr>
      <w:r w:rsidRPr="006F2185">
        <w:rPr>
          <w:b/>
          <w:lang w:val="en-US"/>
        </w:rPr>
        <w:t>4. Goal Achievement &amp; Impact Assessment:</w:t>
      </w:r>
      <w:r w:rsidRPr="006F2185">
        <w:rPr>
          <w:lang w:val="en-US"/>
        </w:rPr>
        <w:t xml:space="preserve"> Measure behavioral outputs against established KPIs (Key Performance Indicators), such as academic work impact or positive addiction thresholds, to evaluate whether digital health objectives are being met.</w:t>
      </w:r>
    </w:p>
    <w:p w14:paraId="682B1600" w14:textId="77777777" w:rsidR="00700D9A" w:rsidRDefault="00700D9A" w:rsidP="00700D9A">
      <w:pPr>
        <w:rPr>
          <w:b/>
          <w:bCs/>
          <w:lang w:val="en-US"/>
        </w:rPr>
      </w:pPr>
      <w:r>
        <w:rPr>
          <w:b/>
          <w:bCs/>
          <w:noProof/>
          <w:lang w:val="en-US"/>
        </w:rPr>
        <w:drawing>
          <wp:inline distT="0" distB="0" distL="0" distR="0" wp14:anchorId="57F7EC85" wp14:editId="5D398115">
            <wp:extent cx="5731510" cy="31857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731510" cy="3185795"/>
                    </a:xfrm>
                    <a:prstGeom prst="rect">
                      <a:avLst/>
                    </a:prstGeom>
                  </pic:spPr>
                </pic:pic>
              </a:graphicData>
            </a:graphic>
          </wp:inline>
        </w:drawing>
      </w:r>
    </w:p>
    <w:p w14:paraId="74FB4FA3" w14:textId="77777777" w:rsidR="00700D9A" w:rsidRPr="006F2185" w:rsidRDefault="00700D9A" w:rsidP="006F2185">
      <w:pPr>
        <w:rPr>
          <w:lang w:val="en-US"/>
        </w:rPr>
      </w:pPr>
    </w:p>
    <w:p w14:paraId="753EED8B" w14:textId="0DAE3300" w:rsidR="006F2185" w:rsidRPr="006F2185" w:rsidRDefault="006F2185" w:rsidP="006F2185">
      <w:pPr>
        <w:rPr>
          <w:b/>
          <w:bCs/>
          <w:lang w:val="en-US"/>
        </w:rPr>
      </w:pPr>
      <w:r w:rsidRPr="006F2185">
        <w:rPr>
          <w:b/>
          <w:bCs/>
          <w:lang w:val="en-US"/>
        </w:rPr>
        <w:t xml:space="preserve">Report Analysis </w:t>
      </w:r>
    </w:p>
    <w:p w14:paraId="0A2BD400" w14:textId="329C56F6" w:rsidR="006F2185" w:rsidRPr="006F2185" w:rsidRDefault="006F2185" w:rsidP="006F2185">
      <w:pPr>
        <w:rPr>
          <w:lang w:val="en-US"/>
        </w:rPr>
      </w:pPr>
      <w:r w:rsidRPr="006F2185">
        <w:rPr>
          <w:b/>
          <w:lang w:val="en-US"/>
        </w:rPr>
        <w:t>Gender Distribution vs. Screen Time:</w:t>
      </w:r>
      <w:r w:rsidRPr="006F2185">
        <w:rPr>
          <w:lang w:val="en-US"/>
        </w:rPr>
        <w:t xml:space="preserve"> The gender distribution metric indicates distinct distribution trends where numerical screen durations and app open metrics differ significantly among Male, Female, and </w:t>
      </w:r>
      <w:r w:rsidR="004064A0" w:rsidRPr="006F2185">
        <w:rPr>
          <w:lang w:val="en-US"/>
        </w:rPr>
        <w:t>other</w:t>
      </w:r>
      <w:r w:rsidRPr="006F2185">
        <w:rPr>
          <w:lang w:val="en-US"/>
        </w:rPr>
        <w:t xml:space="preserve"> gender profiles across the dataset.</w:t>
      </w:r>
    </w:p>
    <w:p w14:paraId="4E70CA0F" w14:textId="77777777" w:rsidR="006F2185" w:rsidRPr="006F2185" w:rsidRDefault="006F2185" w:rsidP="006F2185">
      <w:pPr>
        <w:rPr>
          <w:lang w:val="en-US"/>
        </w:rPr>
      </w:pPr>
      <w:r w:rsidRPr="006F2185">
        <w:rPr>
          <w:b/>
          <w:lang w:val="en-US"/>
        </w:rPr>
        <w:t>Age Group Analysis:</w:t>
      </w:r>
      <w:r w:rsidRPr="006F2185">
        <w:rPr>
          <w:lang w:val="en-US"/>
        </w:rPr>
        <w:t xml:space="preserve"> Among monitored profiles, young adults (ages 18–25) account for a major share of elevated daily screen durations, indicating a significant focus on </w:t>
      </w:r>
      <w:r w:rsidRPr="006F2185">
        <w:rPr>
          <w:lang w:val="en-US"/>
        </w:rPr>
        <w:lastRenderedPageBreak/>
        <w:t>younger populations. This trend could suggest the need for structural institutional policies aimed at youth digital wellness engagement and focus benefits tailored for this demographic.</w:t>
      </w:r>
    </w:p>
    <w:p w14:paraId="580474EB" w14:textId="77777777" w:rsidR="006F2185" w:rsidRPr="006F2185" w:rsidRDefault="006F2185" w:rsidP="006F2185">
      <w:pPr>
        <w:rPr>
          <w:lang w:val="en-US"/>
        </w:rPr>
      </w:pPr>
      <w:r w:rsidRPr="006F2185">
        <w:rPr>
          <w:b/>
          <w:lang w:val="en-US"/>
        </w:rPr>
        <w:t>Academic &amp; Work Life Impact:</w:t>
      </w:r>
      <w:r w:rsidRPr="006F2185">
        <w:rPr>
          <w:lang w:val="en-US"/>
        </w:rPr>
        <w:t xml:space="preserve"> A critical subset of users showing intense screen time also directly flagged a positive impact on their academic or work productivity ('Yes' under academic_work_impact). This indicates that high device engagement is heavily split between professional study tasks and leisure addiction.</w:t>
      </w:r>
    </w:p>
    <w:p w14:paraId="17927B9C" w14:textId="3E06428C" w:rsidR="006F2185" w:rsidRDefault="006F2185" w:rsidP="006F2185">
      <w:r w:rsidRPr="006F2185">
        <w:rPr>
          <w:b/>
          <w:lang w:val="en-US"/>
        </w:rPr>
        <w:t>High Notification Trigger Rate:</w:t>
      </w:r>
      <w:r w:rsidRPr="006F2185">
        <w:rPr>
          <w:lang w:val="en-US"/>
        </w:rPr>
        <w:t xml:space="preserve"> A total baseline check reveals massive notification volumes (with some individual records exceeding 200 notifications per day), indicating strong system engagement efforts from applications. These metrics should be closely studied by designers for creating successful non-intrusive outreach strategies.</w:t>
      </w:r>
    </w:p>
    <w:sectPr w:rsidR="006F2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85"/>
    <w:rsid w:val="00272BE9"/>
    <w:rsid w:val="0038326B"/>
    <w:rsid w:val="003855C2"/>
    <w:rsid w:val="004064A0"/>
    <w:rsid w:val="006F2185"/>
    <w:rsid w:val="00700D9A"/>
    <w:rsid w:val="00AD3112"/>
    <w:rsid w:val="00E83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0FD89"/>
  <w15:chartTrackingRefBased/>
  <w15:docId w15:val="{4B798B8D-09FA-4D61-B512-50CBB2FDA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185"/>
    <w:rPr>
      <w:rFonts w:eastAsiaTheme="majorEastAsia" w:cstheme="majorBidi"/>
      <w:color w:val="272727" w:themeColor="text1" w:themeTint="D8"/>
    </w:rPr>
  </w:style>
  <w:style w:type="paragraph" w:styleId="Title">
    <w:name w:val="Title"/>
    <w:basedOn w:val="Normal"/>
    <w:next w:val="Normal"/>
    <w:link w:val="TitleChar"/>
    <w:uiPriority w:val="10"/>
    <w:qFormat/>
    <w:rsid w:val="006F2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185"/>
    <w:pPr>
      <w:spacing w:before="160"/>
      <w:jc w:val="center"/>
    </w:pPr>
    <w:rPr>
      <w:i/>
      <w:iCs/>
      <w:color w:val="404040" w:themeColor="text1" w:themeTint="BF"/>
    </w:rPr>
  </w:style>
  <w:style w:type="character" w:customStyle="1" w:styleId="QuoteChar">
    <w:name w:val="Quote Char"/>
    <w:basedOn w:val="DefaultParagraphFont"/>
    <w:link w:val="Quote"/>
    <w:uiPriority w:val="29"/>
    <w:rsid w:val="006F2185"/>
    <w:rPr>
      <w:i/>
      <w:iCs/>
      <w:color w:val="404040" w:themeColor="text1" w:themeTint="BF"/>
    </w:rPr>
  </w:style>
  <w:style w:type="paragraph" w:styleId="ListParagraph">
    <w:name w:val="List Paragraph"/>
    <w:basedOn w:val="Normal"/>
    <w:uiPriority w:val="34"/>
    <w:qFormat/>
    <w:rsid w:val="006F2185"/>
    <w:pPr>
      <w:ind w:left="720"/>
      <w:contextualSpacing/>
    </w:pPr>
  </w:style>
  <w:style w:type="character" w:styleId="IntenseEmphasis">
    <w:name w:val="Intense Emphasis"/>
    <w:basedOn w:val="DefaultParagraphFont"/>
    <w:uiPriority w:val="21"/>
    <w:qFormat/>
    <w:rsid w:val="006F2185"/>
    <w:rPr>
      <w:i/>
      <w:iCs/>
      <w:color w:val="0F4761" w:themeColor="accent1" w:themeShade="BF"/>
    </w:rPr>
  </w:style>
  <w:style w:type="paragraph" w:styleId="IntenseQuote">
    <w:name w:val="Intense Quote"/>
    <w:basedOn w:val="Normal"/>
    <w:next w:val="Normal"/>
    <w:link w:val="IntenseQuoteChar"/>
    <w:uiPriority w:val="30"/>
    <w:qFormat/>
    <w:rsid w:val="006F2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185"/>
    <w:rPr>
      <w:i/>
      <w:iCs/>
      <w:color w:val="0F4761" w:themeColor="accent1" w:themeShade="BF"/>
    </w:rPr>
  </w:style>
  <w:style w:type="character" w:styleId="IntenseReference">
    <w:name w:val="Intense Reference"/>
    <w:basedOn w:val="DefaultParagraphFont"/>
    <w:uiPriority w:val="32"/>
    <w:qFormat/>
    <w:rsid w:val="006F2185"/>
    <w:rPr>
      <w:b/>
      <w:bCs/>
      <w:smallCaps/>
      <w:color w:val="0F4761" w:themeColor="accent1" w:themeShade="BF"/>
      <w:spacing w:val="5"/>
    </w:rPr>
  </w:style>
  <w:style w:type="table" w:styleId="LightShading-Accent1">
    <w:name w:val="Light Shading Accent 1"/>
    <w:basedOn w:val="TableNormal"/>
    <w:uiPriority w:val="60"/>
    <w:semiHidden/>
    <w:unhideWhenUsed/>
    <w:rsid w:val="006F2185"/>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6F2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79850">
      <w:bodyDiv w:val="1"/>
      <w:marLeft w:val="0"/>
      <w:marRight w:val="0"/>
      <w:marTop w:val="0"/>
      <w:marBottom w:val="0"/>
      <w:divBdr>
        <w:top w:val="none" w:sz="0" w:space="0" w:color="auto"/>
        <w:left w:val="none" w:sz="0" w:space="0" w:color="auto"/>
        <w:bottom w:val="none" w:sz="0" w:space="0" w:color="auto"/>
        <w:right w:val="none" w:sz="0" w:space="0" w:color="auto"/>
      </w:divBdr>
    </w:div>
    <w:div w:id="157581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4</cp:revision>
  <dcterms:created xsi:type="dcterms:W3CDTF">2026-09-21T05:34:00Z</dcterms:created>
  <dcterms:modified xsi:type="dcterms:W3CDTF">2026-09-21T10:32:00Z</dcterms:modified>
</cp:coreProperties>
</file>