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CB1" w:rsidRPr="006E6CB1" w:rsidRDefault="006E6CB1" w:rsidP="006E6CB1">
      <w:pPr>
        <w:pStyle w:val="2"/>
        <w:jc w:val="center"/>
        <w:rPr>
          <w:rFonts w:hint="eastAsia"/>
        </w:rPr>
      </w:pPr>
      <w:r w:rsidRPr="006E6CB1">
        <w:rPr>
          <w:rFonts w:hint="eastAsia"/>
        </w:rPr>
        <w:t>国家税务总局关于将个人所得税《税收完税证明》（文书式）调整为《纳税记录》有关事项的公告</w:t>
      </w:r>
    </w:p>
    <w:p w:rsidR="006E6CB1" w:rsidRPr="006E6CB1" w:rsidRDefault="006E6CB1" w:rsidP="006E6CB1">
      <w:pPr>
        <w:jc w:val="center"/>
        <w:rPr>
          <w:rFonts w:ascii="仿宋" w:eastAsia="仿宋" w:hAnsi="仿宋" w:hint="eastAsia"/>
          <w:sz w:val="32"/>
          <w:szCs w:val="32"/>
        </w:rPr>
      </w:pPr>
      <w:r w:rsidRPr="006E6CB1">
        <w:rPr>
          <w:rFonts w:ascii="仿宋" w:eastAsia="仿宋" w:hAnsi="仿宋" w:hint="eastAsia"/>
          <w:sz w:val="32"/>
          <w:szCs w:val="32"/>
        </w:rPr>
        <w:t>国家税务总局公告2018年第55号</w:t>
      </w:r>
    </w:p>
    <w:p w:rsidR="006E6CB1" w:rsidRPr="006E6CB1" w:rsidRDefault="006E6CB1" w:rsidP="006E6CB1">
      <w:pPr>
        <w:rPr>
          <w:rFonts w:ascii="仿宋" w:eastAsia="仿宋" w:hAnsi="仿宋" w:hint="eastAsia"/>
          <w:sz w:val="32"/>
          <w:szCs w:val="32"/>
        </w:rPr>
      </w:pP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为配合个人所得税制度改革，进一步落实</w:t>
      </w:r>
      <w:proofErr w:type="gramStart"/>
      <w:r w:rsidRPr="006E6CB1">
        <w:rPr>
          <w:rFonts w:ascii="仿宋" w:eastAsia="仿宋" w:hAnsi="仿宋" w:hint="eastAsia"/>
          <w:sz w:val="32"/>
          <w:szCs w:val="32"/>
        </w:rPr>
        <w:t>国务院减证便民</w:t>
      </w:r>
      <w:proofErr w:type="gramEnd"/>
      <w:r w:rsidRPr="006E6CB1">
        <w:rPr>
          <w:rFonts w:ascii="仿宋" w:eastAsia="仿宋" w:hAnsi="仿宋" w:hint="eastAsia"/>
          <w:sz w:val="32"/>
          <w:szCs w:val="32"/>
        </w:rPr>
        <w:t>要求，优化纳税服务，国家税务总局决定将个人所得税《税收完税证明》（文书式）调整为《纳税记录》。现将有关事项公告如下：</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一、从2019年1月1日起，纳税人申请开具税款所属期为2019年1月1日（含）以后的个人所得税缴（退）税情况证明的，税务机关不再开具《税收完税证明》（文书式），调整为开具《纳税记录》（具体内容及式样见附件）；纳税人申请开具税款所属期为2018年12月31日（含）以前个人所得税缴（退）税情况证明的，税务机关继续开具《税收完税证明》（文书式）。</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二、纳税人2019年1月1日以后取得应税所得并由扣缴义务人向税务机关办理了全员全额扣缴申报，或根据税法规定自行向税务机关办理纳税申报的，不论是否实际缴纳税款，均可以申请开具《纳税记录》。</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三、纳税人可以通过电子税务局、手机APP申请开具本人的个人所得税《纳税记录》，也可到办税服务厅申请开具。</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lastRenderedPageBreak/>
        <w:t xml:space="preserve">　　四、纳税人可以委托他人持下列证件和资料到办税服务厅代为开具个人所得税《纳税记录》：</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（一）委托人及受托人有效身份证件原件；</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（二）委托人书面授权资料。</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五、纳税人对个人所得税《纳税记录》存在异议的，可以向该项记录中列明的税务机关申请核实。</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六、税务机关提供个人所得税《纳税记录》的验证服务，支持通过电子税务局、手机APP等方式进行验证。具体验证方法见个人所得税《纳税记录》中的相关说明。</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七、本公告自2019年1月1日起施行。</w:t>
      </w: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特此公告。</w:t>
      </w:r>
    </w:p>
    <w:p w:rsidR="006E6CB1" w:rsidRPr="006E6CB1" w:rsidRDefault="006E6CB1" w:rsidP="006E6CB1">
      <w:pPr>
        <w:rPr>
          <w:rFonts w:ascii="仿宋" w:eastAsia="仿宋" w:hAnsi="仿宋"/>
          <w:sz w:val="32"/>
          <w:szCs w:val="32"/>
        </w:rPr>
      </w:pPr>
    </w:p>
    <w:p w:rsidR="006E6CB1" w:rsidRPr="006E6CB1" w:rsidRDefault="006E6CB1" w:rsidP="006E6CB1">
      <w:pPr>
        <w:rPr>
          <w:rFonts w:ascii="仿宋" w:eastAsia="仿宋" w:hAnsi="仿宋" w:hint="eastAsia"/>
          <w:sz w:val="32"/>
          <w:szCs w:val="32"/>
        </w:rPr>
      </w:pPr>
      <w:r w:rsidRPr="006E6CB1">
        <w:rPr>
          <w:rFonts w:ascii="仿宋" w:eastAsia="仿宋" w:hAnsi="仿宋" w:hint="eastAsia"/>
          <w:sz w:val="32"/>
          <w:szCs w:val="32"/>
        </w:rPr>
        <w:t xml:space="preserve">　　附件：个人所得税纳税记录</w:t>
      </w:r>
    </w:p>
    <w:p w:rsidR="006E6CB1" w:rsidRPr="006E6CB1" w:rsidRDefault="006E6CB1" w:rsidP="006E6CB1">
      <w:pPr>
        <w:rPr>
          <w:rFonts w:ascii="仿宋" w:eastAsia="仿宋" w:hAnsi="仿宋"/>
          <w:sz w:val="32"/>
          <w:szCs w:val="32"/>
        </w:rPr>
      </w:pPr>
    </w:p>
    <w:p w:rsidR="006E6CB1" w:rsidRPr="006E6CB1" w:rsidRDefault="006E6CB1" w:rsidP="006E6CB1">
      <w:pPr>
        <w:jc w:val="right"/>
        <w:rPr>
          <w:rFonts w:ascii="仿宋" w:eastAsia="仿宋" w:hAnsi="仿宋" w:hint="eastAsia"/>
          <w:sz w:val="32"/>
          <w:szCs w:val="32"/>
        </w:rPr>
      </w:pPr>
      <w:r w:rsidRPr="006E6CB1">
        <w:rPr>
          <w:rFonts w:ascii="仿宋" w:eastAsia="仿宋" w:hAnsi="仿宋" w:hint="eastAsia"/>
          <w:sz w:val="32"/>
          <w:szCs w:val="32"/>
        </w:rPr>
        <w:t>国家税务总局</w:t>
      </w:r>
    </w:p>
    <w:p w:rsidR="00E06517" w:rsidRPr="006E6CB1" w:rsidRDefault="006E6CB1" w:rsidP="006E6CB1">
      <w:pPr>
        <w:jc w:val="right"/>
        <w:rPr>
          <w:rFonts w:ascii="仿宋" w:eastAsia="仿宋" w:hAnsi="仿宋" w:hint="eastAsia"/>
          <w:sz w:val="32"/>
          <w:szCs w:val="32"/>
        </w:rPr>
      </w:pPr>
      <w:r w:rsidRPr="006E6CB1">
        <w:rPr>
          <w:rFonts w:ascii="仿宋" w:eastAsia="仿宋" w:hAnsi="仿宋" w:hint="eastAsia"/>
          <w:sz w:val="32"/>
          <w:szCs w:val="32"/>
        </w:rPr>
        <w:t>2018年12月5日</w:t>
      </w:r>
    </w:p>
    <w:p w:rsidR="006E6CB1" w:rsidRDefault="006E6CB1" w:rsidP="006E6CB1">
      <w:pPr>
        <w:rPr>
          <w:rFonts w:hint="eastAsia"/>
        </w:rPr>
      </w:pPr>
    </w:p>
    <w:p w:rsidR="006E6CB1" w:rsidRDefault="006E6CB1" w:rsidP="006E6CB1">
      <w:pPr>
        <w:rPr>
          <w:rFonts w:ascii="仿宋" w:eastAsia="仿宋" w:hAnsi="仿宋"/>
          <w:sz w:val="32"/>
          <w:szCs w:val="32"/>
        </w:rPr>
        <w:sectPr w:rsidR="006E6CB1" w:rsidSect="002E1D3A">
          <w:pgSz w:w="11906" w:h="16838"/>
          <w:pgMar w:top="1440" w:right="1800" w:bottom="1440" w:left="1800" w:header="851" w:footer="992" w:gutter="0"/>
          <w:cols w:space="425"/>
          <w:docGrid w:type="lines" w:linePitch="312"/>
        </w:sectPr>
      </w:pPr>
    </w:p>
    <w:p w:rsidR="006E6CB1" w:rsidRDefault="006E6CB1" w:rsidP="006E6CB1">
      <w:pPr>
        <w:rPr>
          <w:rFonts w:ascii="仿宋" w:eastAsia="仿宋" w:hAnsi="仿宋" w:hint="eastAsia"/>
          <w:sz w:val="32"/>
          <w:szCs w:val="32"/>
        </w:rPr>
      </w:pPr>
      <w:r w:rsidRPr="003D08B1">
        <w:rPr>
          <w:rFonts w:ascii="仿宋" w:eastAsia="仿宋" w:hAnsi="仿宋" w:hint="eastAsia"/>
          <w:sz w:val="32"/>
          <w:szCs w:val="32"/>
        </w:rPr>
        <w:lastRenderedPageBreak/>
        <w:t>附件：</w:t>
      </w:r>
    </w:p>
    <w:p w:rsidR="006E6CB1" w:rsidRPr="00956407" w:rsidRDefault="006E6CB1" w:rsidP="006E6CB1">
      <w:pPr>
        <w:jc w:val="center"/>
        <w:rPr>
          <w:rFonts w:ascii="仿宋" w:eastAsia="仿宋" w:hAnsi="仿宋"/>
          <w:sz w:val="32"/>
          <w:szCs w:val="32"/>
        </w:rPr>
      </w:pPr>
      <w:r w:rsidRPr="003D08B1">
        <w:rPr>
          <w:rFonts w:ascii="仿宋" w:eastAsia="仿宋" w:hAnsi="仿宋" w:hint="eastAsia"/>
          <w:sz w:val="32"/>
          <w:szCs w:val="32"/>
        </w:rPr>
        <w:t>个人所得税纳税记录</w:t>
      </w:r>
    </w:p>
    <w:p w:rsidR="006E6CB1" w:rsidRPr="00991B33" w:rsidRDefault="006E6CB1" w:rsidP="006E6CB1">
      <w:r>
        <w:rPr>
          <w:noProof/>
        </w:rPr>
        <w:drawing>
          <wp:anchor distT="0" distB="0" distL="114300" distR="114300" simplePos="0" relativeHeight="251660288" behindDoc="0" locked="0" layoutInCell="1" allowOverlap="1">
            <wp:simplePos x="0" y="0"/>
            <wp:positionH relativeFrom="column">
              <wp:posOffset>-281305</wp:posOffset>
            </wp:positionH>
            <wp:positionV relativeFrom="paragraph">
              <wp:posOffset>99060</wp:posOffset>
            </wp:positionV>
            <wp:extent cx="5882005" cy="8319135"/>
            <wp:effectExtent l="19050" t="0" r="4445" b="0"/>
            <wp:wrapNone/>
            <wp:docPr id="2" name="图片 2" descr="V1_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_2 (3)"/>
                    <pic:cNvPicPr>
                      <a:picLocks noChangeAspect="1" noChangeArrowheads="1"/>
                    </pic:cNvPicPr>
                  </pic:nvPicPr>
                  <pic:blipFill>
                    <a:blip r:embed="rId6" cstate="print"/>
                    <a:srcRect/>
                    <a:stretch>
                      <a:fillRect/>
                    </a:stretch>
                  </pic:blipFill>
                  <pic:spPr bwMode="auto">
                    <a:xfrm>
                      <a:off x="0" y="0"/>
                      <a:ext cx="5882005" cy="8319135"/>
                    </a:xfrm>
                    <a:prstGeom prst="rect">
                      <a:avLst/>
                    </a:prstGeom>
                    <a:noFill/>
                    <a:ln w="9525">
                      <a:noFill/>
                      <a:miter lim="800000"/>
                      <a:headEnd/>
                      <a:tailEnd/>
                    </a:ln>
                  </pic:spPr>
                </pic:pic>
              </a:graphicData>
            </a:graphic>
          </wp:anchor>
        </w:drawing>
      </w:r>
    </w:p>
    <w:p w:rsidR="006E6CB1" w:rsidRPr="006E6CB1" w:rsidRDefault="006E6CB1" w:rsidP="006E6CB1"/>
    <w:sectPr w:rsidR="006E6CB1" w:rsidRPr="006E6CB1" w:rsidSect="002E1D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647" w:rsidRDefault="00D72647" w:rsidP="006E6CB1">
      <w:r>
        <w:separator/>
      </w:r>
    </w:p>
  </w:endnote>
  <w:endnote w:type="continuationSeparator" w:id="0">
    <w:p w:rsidR="00D72647" w:rsidRDefault="00D72647" w:rsidP="006E6C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647" w:rsidRDefault="00D72647" w:rsidP="006E6CB1">
      <w:r>
        <w:separator/>
      </w:r>
    </w:p>
  </w:footnote>
  <w:footnote w:type="continuationSeparator" w:id="0">
    <w:p w:rsidR="00D72647" w:rsidRDefault="00D72647" w:rsidP="006E6C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6CB1"/>
    <w:rsid w:val="002E1D3A"/>
    <w:rsid w:val="004B30AC"/>
    <w:rsid w:val="006E6CB1"/>
    <w:rsid w:val="007F465D"/>
    <w:rsid w:val="00D726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D3A"/>
    <w:pPr>
      <w:widowControl w:val="0"/>
      <w:jc w:val="both"/>
    </w:pPr>
  </w:style>
  <w:style w:type="paragraph" w:styleId="2">
    <w:name w:val="heading 2"/>
    <w:basedOn w:val="a"/>
    <w:next w:val="a"/>
    <w:link w:val="2Char"/>
    <w:uiPriority w:val="9"/>
    <w:unhideWhenUsed/>
    <w:qFormat/>
    <w:rsid w:val="006E6C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6CB1"/>
    <w:rPr>
      <w:sz w:val="18"/>
      <w:szCs w:val="18"/>
    </w:rPr>
  </w:style>
  <w:style w:type="paragraph" w:styleId="a4">
    <w:name w:val="footer"/>
    <w:basedOn w:val="a"/>
    <w:link w:val="Char0"/>
    <w:uiPriority w:val="99"/>
    <w:semiHidden/>
    <w:unhideWhenUsed/>
    <w:rsid w:val="006E6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6CB1"/>
    <w:rPr>
      <w:sz w:val="18"/>
      <w:szCs w:val="18"/>
    </w:rPr>
  </w:style>
  <w:style w:type="paragraph" w:styleId="a5">
    <w:name w:val="Date"/>
    <w:basedOn w:val="a"/>
    <w:next w:val="a"/>
    <w:link w:val="Char1"/>
    <w:uiPriority w:val="99"/>
    <w:semiHidden/>
    <w:unhideWhenUsed/>
    <w:rsid w:val="006E6CB1"/>
    <w:pPr>
      <w:ind w:leftChars="2500" w:left="100"/>
    </w:pPr>
  </w:style>
  <w:style w:type="character" w:customStyle="1" w:styleId="Char1">
    <w:name w:val="日期 Char"/>
    <w:basedOn w:val="a0"/>
    <w:link w:val="a5"/>
    <w:uiPriority w:val="99"/>
    <w:semiHidden/>
    <w:rsid w:val="006E6CB1"/>
  </w:style>
  <w:style w:type="character" w:customStyle="1" w:styleId="2Char">
    <w:name w:val="标题 2 Char"/>
    <w:basedOn w:val="a0"/>
    <w:link w:val="2"/>
    <w:uiPriority w:val="9"/>
    <w:rsid w:val="006E6CB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Words>
  <Characters>649</Characters>
  <Application>Microsoft Office Word</Application>
  <DocSecurity>0</DocSecurity>
  <Lines>5</Lines>
  <Paragraphs>1</Paragraphs>
  <ScaleCrop>false</ScaleCrop>
  <Company>Microsoft</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2018-12-23T05:07:00Z</dcterms:created>
  <dcterms:modified xsi:type="dcterms:W3CDTF">2018-12-23T05:07:00Z</dcterms:modified>
</cp:coreProperties>
</file>