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HelveticaNeue-bold.ttf" ContentType="application/x-font-ttf"/>
  <Override PartName="/word/fonts/HelveticaNeue-boldItalic.ttf" ContentType="application/x-font-ttf"/>
  <Override PartName="/word/fonts/HelveticaNeue-italic.ttf" ContentType="application/x-font-ttf"/>
  <Override PartName="/word/fonts/HelveticaNeue-regular.ttf" ContentType="application/x-font-ttf"/>
  <Override PartName="/word/fonts/HelveticaNeueLight-bold.ttf" ContentType="application/x-font-ttf"/>
  <Override PartName="/word/fonts/HelveticaNeueLight-boldItalic.ttf" ContentType="application/x-font-ttf"/>
  <Override PartName="/word/fonts/HelveticaNeueLight-italic.ttf" ContentType="application/x-font-ttf"/>
  <Override PartName="/word/fonts/HelveticaNeueLight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8">
      <w:pPr>
        <w:spacing w:after="0" w:before="0" w:line="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09">
      <w:pPr>
        <w:pStyle w:val="Title"/>
        <w:spacing w:line="240" w:lineRule="auto"/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</w:rPr>
      </w:pPr>
      <w:r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  <w:rtl w:val="0"/>
        </w:rPr>
        <w:t xml:space="preserve">Quant Replay Collector</w:t>
      </w:r>
    </w:p>
    <w:p w14:paraId="0000000A">
      <w:pPr>
        <w:pStyle w:val="Title"/>
        <w:spacing w:line="240" w:lineRule="auto"/>
        <w:rPr>
          <w:rFonts w:ascii="Helvetica Neue" w:cs="Helvetica Neue" w:eastAsia="Helvetica Neue" w:hAnsi="Helvetica Neue"/>
          <w:sz w:val="72"/>
          <w:szCs w:val="72"/>
        </w:rPr>
      </w:pPr>
      <w:r>
        <w:rPr>
          <w:rFonts w:ascii="Helvetica Neue" w:cs="Helvetica Neue" w:eastAsia="Helvetica Neue" w:hAnsi="Helvetica Neue"/>
          <w:sz w:val="72"/>
          <w:szCs w:val="72"/>
          <w:rtl w:val="0"/>
        </w:rPr>
        <w:t xml:space="preserve">单窗口研究工作区与视觉系统重设计</w:t>
      </w:r>
    </w:p>
    <w:p w14:paraId="0000000B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C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D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E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F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0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1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2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3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4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1"/>
        <w:tblW w:w="10400.0" w:type="dxa"/>
        <w:jc w:val="center"/>
        <w:tblLayout w:type="fixed"/>
        <w:tblLook w:val="0600"/>
      </w:tblPr>
      <w:tblGrid>
        <w:gridCol w:w="3200"/>
        <w:gridCol w:w="400"/>
        <w:gridCol w:w="3200"/>
        <w:gridCol w:w="400"/>
        <w:gridCol w:w="3200"/>
        <w:tblGridChange w:id="0">
          <w:tblGrid>
            <w:gridCol w:w="3200"/>
            <w:gridCol w:w="400"/>
            <w:gridCol w:w="3200"/>
            <w:gridCol w:w="400"/>
            <w:gridCol w:w="3200"/>
          </w:tblGrid>
        </w:tblGridChange>
      </w:tblGrid>
      <w:tr>
        <w:trPr>
          <w:cantSplit w:val="0"/>
          <w:tblHeader w:val="0"/>
        </w:trPr>
        <w:tc>
          <w:tcPr/>
          <w:p w14:paraId="00000015">
            <w:pPr>
              <w:pStyle w:val="Heading3"/>
              <w:rPr/>
            </w:pPr>
            <w:bookmarkStart w:colFirst="0" w:colLast="0" w:name="_heading=h.7ykrt4nkacae" w:id="0"/>
            <w:bookmarkEnd w:id="0"/>
            <w:r>
              <w:rPr>
                <w:rtl w:val="0"/>
              </w:rPr>
              <w:t xml:space="preserve">STATUS</w:t>
            </w:r>
          </w:p>
          <w:p w14:paraId="00000016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t>Approved</w:t>
            </w:r>
          </w:p>
        </w:tc>
        <w:tc>
          <w:tcPr/>
          <w:p w14:paraId="00000017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/>
          <w:p w14:paraId="00000018">
            <w:pPr>
              <w:pStyle w:val="Heading3"/>
              <w:rPr/>
            </w:pPr>
            <w:bookmarkStart w:colFirst="0" w:colLast="0" w:name="_heading=h.yfftl1hqu8kl" w:id="1"/>
            <w:bookmarkEnd w:id="1"/>
            <w:r>
              <w:rPr>
                <w:rtl w:val="0"/>
              </w:rPr>
              <w:t xml:space="preserve">OWNER</w:t>
            </w:r>
            <w:r>
              <w:rPr>
                <w:rtl w:val="0"/>
              </w:rPr>
            </w:r>
          </w:p>
          <w:p w14:paraId="00000019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t>QRC Maintainers</w:t>
            </w:r>
          </w:p>
        </w:tc>
        <w:tc>
          <w:tcPr/>
          <w:p w14:paraId="0000001A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/>
          <w:p w14:paraId="0000001B">
            <w:pPr>
              <w:pStyle w:val="Heading3"/>
              <w:rPr/>
            </w:pPr>
            <w:bookmarkStart w:colFirst="0" w:colLast="0" w:name="_heading=h.jp27tbh10tsa" w:id="2"/>
            <w:bookmarkEnd w:id="2"/>
            <w:r>
              <w:rPr>
                <w:rtl w:val="0"/>
              </w:rPr>
              <w:t xml:space="preserve">LAST UPDATED</w:t>
            </w:r>
            <w:r>
              <w:rPr>
                <w:rtl w:val="0"/>
              </w:rPr>
            </w:r>
          </w:p>
          <w:p w14:paraId="0000001C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t>July 11, 2026</w:t>
            </w:r>
          </w:p>
        </w:tc>
      </w:tr>
    </w:tbl>
    <w:p w14:paraId="0000001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2"/>
        <w:tblW w:w="10155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1815"/>
        <w:gridCol w:w="8340"/>
        <w:tblGridChange w:id="0">
          <w:tblGrid>
            <w:gridCol w:w="1815"/>
            <w:gridCol w:w="8340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E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Authors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t>Codex with product decisions approved by the user</w:t>
            </w:r>
          </w:p>
        </w:tc>
      </w:tr>
      <w:tr>
        <w:trPr>
          <w:cantSplit w:val="1"/>
          <w:trHeight w:val="404.3103027343749" w:hRule="atLeast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0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Reviewers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t>Product owner; UI regression test suite</w:t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2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Related docs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t>CONTEXT.md; docs/adr/0006-single-window-workspaces.md</w:t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4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Scope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t>Main replay and analysis navigation, light/dark visual themes, responsive layout, and presentation-only migration boundaries.</w:t>
            </w:r>
          </w:p>
        </w:tc>
      </w:tr>
    </w:tbl>
    <w:p w14:paraId="00000026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t>1.  摘要</w:t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t>本设计把行情回放与数据分析整合进同一个应用窗口，通过顶部一级导航切换工作区。新版采用浅色默认主题、暗色可选主题，以及图表优先的响应式布局；分析页复用当前会话和既有计算接口，不再作为独立弹窗。</w:t>
      </w:r>
    </w:p>
    <w:p w14:paraId="00000028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t>设计必须支持 1600×900、Windows 125% 缩放下的完整功能访问，并保持现有快捷键、交易操作、回放状态、分析结果和持久化语义。改动限制在 PySide6 导航外壳、布局、展示和主题层；不修改交易规则、费用、滑点、盈亏、研究计算、SQLite 或研究数据模式。</w:t>
      </w:r>
    </w:p>
    <w:p w14:paraId="00000029">
      <w:pPr>
        <w:spacing w:after="0" w:line="120" w:lineRule="auto"/>
        <w:jc w:val="both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2A">
      <w:pPr>
        <w:pStyle w:val="Heading1"/>
        <w:rPr>
          <w:rFonts w:ascii="Helvetica Neue" w:cs="Helvetica Neue" w:eastAsia="Helvetica Neue" w:hAnsi="Helvetica Neue"/>
        </w:rPr>
      </w:pPr>
      <w:r>
        <w:t>2.  目标与非目标</w:t>
      </w:r>
    </w:p>
    <w:tbl>
      <w:tblPr>
        <w:tblStyle w:val="Table3"/>
        <w:tblW w:w="10224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B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t>目标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C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t>非目标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t>统一顶栏导航与单窗口研究会话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t>不新增实时交易或交易所连接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t>浅色默认、暗色可选；名称仅为浅色/暗色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t>不重写图表、交易或研究算法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t>图表优先；右侧折叠为快捷栏，底部区域可折叠并恢复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t>不改变费用、滑点、盈亏、TP/SL 或 FIFO 语义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t>1600×900、125% 缩放下功能完整可达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t>不修改 SQLite、研究 schema 或发布边界</w:t>
            </w:r>
          </w:p>
        </w:tc>
      </w:tr>
    </w:tbl>
    <w:p w14:paraId="00000035">
      <w:pPr>
        <w:pStyle w:val="Heading1"/>
        <w:spacing w:before="0" w:line="216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36">
      <w:pPr>
        <w:pStyle w:val="Heading1"/>
        <w:rPr>
          <w:rFonts w:ascii="Helvetica Neue" w:cs="Helvetica Neue" w:eastAsia="Helvetica Neue" w:hAnsi="Helvetica Neue"/>
        </w:rPr>
      </w:pPr>
      <w:r>
        <w:t>3.  背景与问题</w:t>
      </w:r>
    </w:p>
    <w:p w14:paraId="0000003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t>当前主窗口同时展示常驻左侧栏、中央图表、右侧状态栏和底部表格，边框与卡片密度过高，图表空间被持续挤压。数据分析以 QDialog 单独打开，造成会话上下文和视觉层级断裂。现有主题只有暗色预设，也无法匹配用户确认的浅色研究界面。</w:t>
      </w:r>
    </w:p>
    <w:p w14:paraId="00000038">
      <w:pPr>
        <w:spacing w:after="110" w:line="300" w:lineRule="auto"/>
        <w:jc w:val="both"/>
        <w:rPr>
          <w:rFonts w:ascii="Helvetica Neue" w:cs="Helvetica Neue" w:eastAsia="Helvetica Neue" w:hAnsi="Helvetica Neue"/>
          <w:color w:val="000000"/>
        </w:rPr>
      </w:pPr>
      <w:r>
        <w:t>新的应用外壳只负责工作区导航、共享会话、主题应用和布局状态。行情回放工作区继续调用现有控制器与 presenter；数据分析工作区由现有 AnalysisWorkspace 内容改造成可嵌入页面。关键不变量是：工作区切换不得改变回放或交易语义，展示层只能消费现有状态和调用现有公开入口。</w:t>
      </w:r>
    </w:p>
    <w:p w14:paraId="00000039">
      <w:pPr>
        <w:pStyle w:val="Heading1"/>
        <w:rPr>
          <w:rFonts w:ascii="Helvetica Neue" w:cs="Helvetica Neue" w:eastAsia="Helvetica Neue" w:hAnsi="Helvetica Neue"/>
        </w:rPr>
      </w:pPr>
      <w:r>
        <w:t>4.  设计架构</w:t>
      </w:r>
    </w:p>
    <w:p w14:paraId="0000003A">
      <w:pPr>
        <w:spacing w:after="0" w:line="144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3B">
      <w:pPr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</w:rPr>
        <w:drawing>
          <wp:inline distB="0" distT="0" distL="0" distR="0">
            <wp:extent cx="6126480" cy="313982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39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t>图 1. 单窗口研究工作区架构。</w:t>
      </w:r>
    </w:p>
    <w:p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tl w:val="0"/>
        </w:rPr>
      </w:r>
    </w:p>
    <w:p w14:paraId="0000003E">
      <w:pPr>
        <w:pStyle w:val="Heading3"/>
        <w:spacing w:after="90" w:line="280" w:lineRule="auto"/>
        <w:rPr/>
      </w:pPr>
      <w:r>
        <w:t>核心组件</w:t>
      </w:r>
    </w:p>
    <w:p w14:paraId="0000003F">
      <w:pPr>
        <w:spacing w:after="0" w:before="20" w:line="240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tbl>
      <w:tblPr>
        <w:tblStyle w:val="Table4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268"/>
        <w:gridCol w:w="3164"/>
        <w:gridCol w:w="2374"/>
        <w:gridCol w:w="2634"/>
        <w:tblGridChange w:id="0">
          <w:tblGrid>
            <w:gridCol w:w="2268"/>
            <w:gridCol w:w="3164"/>
            <w:gridCol w:w="2374"/>
            <w:gridCol w:w="263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0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t>组件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1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t>职责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2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t>主要状态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t>失败行为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t>应用外壳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t>顶部导航、共享会话、页面切换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t>当前工作区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t>停留在当前页并显示非阻塞错误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t>行情回放工作区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t>图表、回放、交易、标注与结果区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t>现有 MainWindow widgets/controllers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t>沿用现有错误处理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t>数据分析工作区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t>嵌入现有分析内容并按进入刷新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t>当前会话与分析子页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t>刷新失败不重置会话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t>主题与展示层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t>浅色/暗色 token、QSS、图表配色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t>theme_settings.json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t>迁移失败回退暗色</w:t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4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t>布局状态适配器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5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t>保存右侧宽度、折叠态和底部高度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6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t>本地应用设置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7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t>读取失败使用默认几何</w:t>
            </w:r>
          </w:p>
        </w:tc>
      </w:tr>
    </w:tbl>
    <w:p w14:paraId="00000058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59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5A">
      <w:pPr>
        <w:pStyle w:val="Heading1"/>
        <w:rPr>
          <w:rFonts w:ascii="Helvetica Neue" w:cs="Helvetica Neue" w:eastAsia="Helvetica Neue" w:hAnsi="Helvetica Neue"/>
        </w:rPr>
      </w:pPr>
      <w:r>
        <w:t>5.  工作区切换生命周期</w:t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t>入口：用户点击顶部“行情回放”或“数据分析”导航，外壳接收目标工作区标识。</w:t>
      </w:r>
    </w:p>
    <w:p w14:paraId="0000005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t>校验：外壳只接受已注册工作区；重复点击当前工作区不重建页面，也不触发重复副作用。</w:t>
      </w:r>
    </w:p>
    <w:p w14:paraId="0000005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t>状态读取：加载当前会话、回放运行状态、所选分析子页、右侧标签和分隔器尺寸。</w:t>
      </w:r>
    </w:p>
    <w:p w14:paraId="0000005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t>切换：QStackedWidget 显示目标页面；进入数据分析时调用一次现有 refresh()，不改变定时器运行状态。</w:t>
      </w:r>
    </w:p>
    <w:p w14:paraId="0000005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t>布局记录：仅在用户实际调整分隔器、折叠状态或主题时写入应用设置；交易和研究数据仍由原路径持久化。</w:t>
      </w:r>
    </w:p>
    <w:p w14:paraId="0000006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t>下游调用：分析刷新沿用现有控制器和错误处理。导航层不新增网络请求、重试或后台线程。</w:t>
      </w:r>
    </w:p>
    <w:p w14:paraId="0000006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t>完成：更新导航选中态和页面可见性；返回行情回放时恢复图表、右侧标签与底部尺寸。失败只影响目标页刷新，不重置当前会话。</w:t>
      </w:r>
    </w:p>
    <w:p w14:paraId="00000062">
      <w:pPr>
        <w:pStyle w:val="Heading1"/>
        <w:spacing w:before="0" w:line="168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63">
      <w:pPr>
        <w:pStyle w:val="Heading1"/>
        <w:rPr>
          <w:rFonts w:ascii="Helvetica Neue" w:cs="Helvetica Neue" w:eastAsia="Helvetica Neue" w:hAnsi="Helvetica Neue"/>
        </w:rPr>
      </w:pPr>
      <w:r>
        <w:t>6.  界面与状态契约</w:t>
      </w:r>
    </w:p>
    <w:p w14:paraId="00000064">
      <w:pPr>
        <w:pStyle w:val="Heading3"/>
        <w:spacing w:after="90" w:line="280" w:lineRule="auto"/>
        <w:rPr/>
      </w:pPr>
      <w:r>
        <w:t>主要布局状态契约</w:t>
      </w:r>
    </w:p>
    <w:p w14:paraId="00000065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tbl>
      <w:tblPr>
        <w:tblStyle w:val="Table5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344"/>
        <w:gridCol w:w="1921"/>
        <w:gridCol w:w="1873"/>
        <w:gridCol w:w="4302"/>
        <w:tblGridChange w:id="0">
          <w:tblGrid>
            <w:gridCol w:w="2344"/>
            <w:gridCol w:w="1921"/>
            <w:gridCol w:w="1873"/>
            <w:gridCol w:w="430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6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t>字段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7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t>类型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8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t>必需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9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t>说明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t>active_workspace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t>enum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t>是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t>replay 或 analysis；默认 replay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t>right_panel_tab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t>enum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t>是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t>trade/status/annotation；默认 trade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t>right_panel_width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t>int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t>否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t>默认约 360px，受最小/最大宽度约束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t>right_panel_collapsed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t>bool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t>否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t>窄屏自动折叠为交易/状态/标注快捷栏，手动状态可恢复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t>bottom_splitter_sizes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t>list[int]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t>否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t>默认约 72/28；非法值回退默认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t>analysis_subtab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t>int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t>否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t>返回分析页时恢复原二级标签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t>theme_name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t>enum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t>是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t>仅允许浅色或暗色；旧名称迁移为暗色</w:t>
            </w:r>
          </w:p>
        </w:tc>
      </w:tr>
    </w:tbl>
    <w:p w14:paraId="00000086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p w14:paraId="00000087">
      <w:pPr>
        <w:pStyle w:val="Heading3"/>
        <w:spacing w:after="90" w:line="280" w:lineRule="auto"/>
        <w:rPr/>
      </w:pPr>
      <w:r>
        <w:t>契约保证</w:t>
      </w:r>
    </w:p>
    <w:p w14:paraId="00000088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p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t>导航显示状态先切换，再发起目标页刷新；布局偏好与交易数据分开保存。</w:t>
      </w:r>
    </w:p>
    <w:p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t>布局写入以最后一次用户操作为准；重复写入同一值必须保持幂等。</w:t>
      </w:r>
    </w:p>
    <w:p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t>主题设置携带 schema 版本；旧主题名称在读取时迁移为“暗色”，新安装默认“浅色”。</w:t>
      </w:r>
    </w:p>
    <w:p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t>布局状态只决定展示，不是交易、回放、会话或研究结果的事实来源。</w:t>
      </w:r>
    </w:p>
    <w:p w14:paraId="0000008D">
      <w:pPr>
        <w:spacing w:after="110" w:line="300" w:lineRule="auto"/>
        <w:rPr>
          <w:rFonts w:ascii="Helvetica Neue" w:cs="Helvetica Neue" w:eastAsia="Helvetica Neue" w:hAnsi="Helvetica Neue"/>
        </w:rPr>
      </w:pPr>
      <w:r>
        <w:t xml:space="preserve">实现接口与布局对象名由测试固定在 </w:t>
      </w:r>
    </w:p>
    <w:p w14:paraId="0000008E">
      <w:pPr>
        <w:spacing w:after="110" w:line="300" w:lineRule="auto"/>
        <w:rPr>
          <w:rFonts w:ascii="Helvetica Neue" w:cs="Helvetica Neue" w:eastAsia="Helvetica Neue" w:hAnsi="Helvetica Neue"/>
        </w:rPr>
      </w:pPr>
      <w:r>
        <w:t>tests/test_main_window_layout.py、tests/test_theme_system.py 及新增工作区导航测试中。</w:t>
      </w:r>
    </w:p>
    <w:p w14:paraId="0000008F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90">
      <w:pPr>
        <w:pStyle w:val="Heading1"/>
        <w:rPr>
          <w:rFonts w:ascii="Helvetica Neue" w:cs="Helvetica Neue" w:eastAsia="Helvetica Neue" w:hAnsi="Helvetica Neue"/>
        </w:rPr>
      </w:pPr>
      <w:r>
        <w:t>7.  一致性、状态恢复与回放</w:t>
      </w:r>
    </w:p>
    <w:p w14:paraId="00000091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92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t>切换工作区不暂停、不重置回放，也不创建新会话。数据分析在进入时刷新一次；连续点击同一导航不得重复构造页面。回放继续运行时，分析页显示实时状态，但计算仍沿用既有刷新边界。布局恢复失败可以回退到默认尺寸，不能阻断应用启动或修改业务状态。</w:t>
      </w:r>
    </w:p>
    <w:tbl>
      <w:tblPr>
        <w:tblStyle w:val="Table6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37"/>
        <w:gridCol w:w="3722"/>
        <w:gridCol w:w="3381"/>
        <w:tblGridChange w:id="0">
          <w:tblGrid>
            <w:gridCol w:w="3337"/>
            <w:gridCol w:w="3722"/>
            <w:gridCol w:w="338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t>场景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4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t>预期行为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t>原因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t>重复点击当前工作区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t>不重建、不重置、不重复刷新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t>保持幂等并避免昂贵刷新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t>分析刷新失败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t>保留当前会话，显示错误，允许手动刷新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t>导航失败不能污染业务状态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t>窗口低于布局基线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t>优先折叠右侧次要控件，功能仍可访问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t>保护图表和主要工具栏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t>旧主题或布局配置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t>迁移到暗色或回退默认几何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t>保证升级后可启动且名称合规</w:t>
            </w:r>
          </w:p>
        </w:tc>
      </w:tr>
    </w:tbl>
    <w:p w14:paraId="000000A2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A3">
      <w:pPr>
        <w:pStyle w:val="Heading1"/>
        <w:rPr>
          <w:rFonts w:ascii="Helvetica Neue" w:cs="Helvetica Neue" w:eastAsia="Helvetica Neue" w:hAnsi="Helvetica Neue"/>
        </w:rPr>
      </w:pPr>
      <w:r>
        <w:t>8.  安全与隐私</w:t>
      </w:r>
    </w:p>
    <w:p w14:paraId="000000A4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t>本改动不新增身份、权限、租户或外部服务边界。</w:t>
      </w:r>
    </w:p>
    <w:p w14:paraId="000000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t>主题与布局设置只保存界面偏好，不复制行情、交易记录、研究结果或用户备注。</w:t>
      </w:r>
    </w:p>
    <w:p w14:paraId="000000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t>导航和主题层不得读取或写入凭据、密钥或连接配置。</w:t>
      </w:r>
    </w:p>
    <w:p w14:paraId="000000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t>危险交易记录操作保持折叠；日志抽屉默认收起；旧主题迁移失败时回退“暗色”，布局迁移失败时使用安全默认尺寸。</w:t>
      </w:r>
    </w:p>
    <w:p w14:paraId="000000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t>布局偏好遵循现有本地应用设置生命周期；本设计不改变研究数据保留与删除规则。</w:t>
      </w:r>
    </w:p>
    <w:p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AC">
      <w:pPr>
        <w:pStyle w:val="Heading1"/>
        <w:rPr>
          <w:rFonts w:ascii="Helvetica Neue" w:cs="Helvetica Neue" w:eastAsia="Helvetica Neue" w:hAnsi="Helvetica Neue"/>
        </w:rPr>
      </w:pPr>
      <w:r>
        <w:t>9.  发布就绪要求</w:t>
      </w:r>
    </w:p>
    <w:tbl>
      <w:tblPr>
        <w:tblStyle w:val="Table7"/>
        <w:tblW w:w="10440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2268"/>
        <w:gridCol w:w="3521"/>
        <w:gridCol w:w="2306"/>
        <w:gridCol w:w="2345"/>
        <w:tblGridChange w:id="0">
          <w:tblGrid>
            <w:gridCol w:w="2268"/>
            <w:gridCol w:w="3521"/>
            <w:gridCol w:w="2306"/>
            <w:gridCol w:w="234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t>信号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t>门槛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t>负责人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0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t>发布门禁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t>主题 token/QSS 回归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t>浅色、暗色及旧配置迁移测试通过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t>QRC Maintainers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4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t>必需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t>窗口几何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t>1600×900、125% 基线无不可达控件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t>QRC Maintainers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8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t>必需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t>工作区导航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t>切换不改变回放状态且恢复布局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t>QRC Maintainers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C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t>必需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t>交易与分析回归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t>现有相关测试全部通过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t>QRC Maintainers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0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t>必需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t>视觉检查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t>主窗口与分析页截图无溢出、重叠和异常留白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t>Product owner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4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t>必需</w:t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/>
          </w:p>
        </w:tc>
      </w:tr>
    </w:tbl>
    <w:p w14:paraId="000000C9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CA">
      <w:pPr>
        <w:pStyle w:val="Heading1"/>
        <w:rPr>
          <w:rFonts w:ascii="Helvetica Neue" w:cs="Helvetica Neue" w:eastAsia="Helvetica Neue" w:hAnsi="Helvetica Neue"/>
        </w:rPr>
      </w:pPr>
      <w:r>
        <w:t>10.  备选方案</w:t>
      </w:r>
    </w:p>
    <w:p w14:paraId="000000CB">
      <w:pPr>
        <w:spacing w:after="0" w:line="14.399999999999999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CC">
      <w:pPr>
        <w:spacing w:after="0" w:line="192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8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03"/>
        <w:gridCol w:w="3313"/>
        <w:gridCol w:w="3824"/>
        <w:tblGridChange w:id="0">
          <w:tblGrid>
            <w:gridCol w:w="3303"/>
            <w:gridCol w:w="3313"/>
            <w:gridCol w:w="382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t>备选方案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t>考虑原因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t>未选择原因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t>保留独立分析弹窗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t>改动最小，沿用当前 QDialog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t>研究上下文割裂，无法形成统一顶栏导航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t>只更换颜色与 QSS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t>风险低、交付快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t>无法解决三栏拥挤和图表空间不足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t>分析页放入底部标签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t>可少改窗口结构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t>底部空间不足，不适合复杂研究页面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t>改写为 Web 前端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t>布局与响应式能力更强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t>超出当前 PySide6 架构与业务稳定性范围</w:t>
            </w:r>
          </w:p>
        </w:tc>
      </w:tr>
    </w:tbl>
    <w:p w14:paraId="000000DC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DD">
      <w:pPr>
        <w:pStyle w:val="Heading1"/>
        <w:rPr>
          <w:rFonts w:ascii="Helvetica Neue" w:cs="Helvetica Neue" w:eastAsia="Helvetica Neue" w:hAnsi="Helvetica Neue"/>
        </w:rPr>
      </w:pPr>
      <w:r>
        <w:t>11.  未决问题</w:t>
      </w:r>
    </w:p>
    <w:p w14:paraId="000000D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t>无阻塞问题：工作区范围、默认标签、主题命名和响应式基线已由用户确认。</w:t>
      </w:r>
    </w:p>
    <w:p w14:paraId="000000D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t>实施中若现有 AnalysisWorkspace 强依赖 QDialog 生命周期，只允许提取可嵌入内容容器，不改分析计算。</w:t>
      </w:r>
    </w:p>
    <w:p w14:paraId="000000E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t>视觉验收以 1600×900、125% 缩放为最低完整基线，并复查 1920×1080 以上布局。</w:t>
      </w:r>
    </w:p>
    <w:p w14:paraId="000000E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t>Word 模板已完成结构审计；本机缺少 LibreOffice，DOCX 视觉渲染验证暂不可用。</w:t>
      </w:r>
    </w:p>
    <w:p w14:paraId="000000E2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E3">
      <w:pPr>
        <w:pStyle w:val="Heading1"/>
        <w:rPr>
          <w:rFonts w:ascii="Helvetica Neue" w:cs="Helvetica Neue" w:eastAsia="Helvetica Neue" w:hAnsi="Helvetica Neue"/>
        </w:rPr>
      </w:pPr>
      <w:r>
        <w:t>12.  决策与下一步</w:t>
      </w:r>
    </w:p>
    <w:p w14:paraId="000000E4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t>采用单窗口工作区外壳和两级导航，先建立主题与导航测试，再迁移主窗口布局，随后嵌入分析页面，最后执行主题、布局、缩放、回放、交易和分析回归。只有浅色/暗色主题、1600×900 几何约束、工作区状态恢复及完整功能测试全部通过后，才替换发布截图。</w:t>
      </w:r>
    </w:p>
    <w:tbl>
      <w:tblPr>
        <w:tblStyle w:val="Table9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54"/>
        <w:gridCol w:w="3713"/>
        <w:gridCol w:w="3773"/>
        <w:tblGridChange w:id="0">
          <w:tblGrid>
            <w:gridCol w:w="2954"/>
            <w:gridCol w:w="3713"/>
            <w:gridCol w:w="377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t>里程碑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6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t>交付物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7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t>退出标准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t>M1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t>主题 schema、浅色/暗色 token 与迁移测试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t>纯 QSS 与配置测试通过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t>M2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t>单窗口导航外壳和嵌入式分析页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t>切换、刷新、状态保持测试通过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t>M3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t>图表优先主布局、折叠与尺寸恢复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t>1600×900 和常用分辨率测试通过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t>M4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t>完整回归、自检与最终截图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t>无业务回归且视觉验收通过</w:t>
            </w:r>
          </w:p>
        </w:tc>
      </w:tr>
    </w:tbl>
    <w:p w14:paraId="000000F4">
      <w:pPr>
        <w:spacing w:after="120" w:line="269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893" w:top="1008" w:left="100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6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>
      <w:t>Quant Replay Collector | System Design RFC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  <w:r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</w:rPr>
        <w:t xml:space="preserve"> Use footnotes for definitions, assumptions, or terms that need precision without interrupting the main narrative.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b w:val="1"/>
      <w:bCs w:val="1"/>
      <w:color w:val="082a4a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smallCaps w:val="1"/>
      <w:color w:val="082a4a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color w:val="5b708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b w:val="1"/>
      <w:bCs w:val="1"/>
      <w:color w:val="082a4a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example.com/system-design/contract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