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split into small, independent services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service handles one business capability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communicate via APIs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deployment and scaling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entry point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Routing, authentication, rate limiting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transformation and caching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Registry / Discovery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active service instances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dynamic service discovery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Consul, Eureka, etc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 domain/service name to IP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internal and external access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Distributes traffic across instances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availability and scalability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BALANCER TYPES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L4 Load Balancer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on TCP/UDP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Faster, network-level routing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L7 Load Balancer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on HTTP/HTTPS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Path-based routing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and cookie inspection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service owns its database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tight coupling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independent scaling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Databases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schema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supported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MySQL, PostgreSQL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NoSQL Databases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schema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MongoDB, DynamoDB, Cassandra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COMMUNICATION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Synchronous Communication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Request-response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Caller waits for response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REST, gRPC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latency, tight coupling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Asynchronous Communication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or message-based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scalability and resilience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async communication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queues and pub/sub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Kafka, RabbitMQ, AWS SQS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MODELS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Publish-Subscribe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producer, multiple consumers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systems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Model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producer, one consumer per message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processing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publish events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services subscribe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eventual consistency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Swagger / OpenAPI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generation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support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AND MONITORING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Externalized Logs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stored outside services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Needed due to ephemeral containers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Stack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Collect: Fluentd, Logstash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Store: Elasticsearch, Loki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Visualize: Kibana, Grafana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and Tracing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performance and errors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Prometheus, Grafana, Jaeger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12-FACTOR APP PRINCIPLES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codebase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dependencies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in environment variables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processes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binding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scalability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startup and shutdown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Dev/prod parity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as event streams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