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marché-public---appel-doffres"/>
    <w:p>
      <w:pPr>
        <w:pStyle w:val="Heading1"/>
      </w:pPr>
      <w:r>
        <w:t xml:space="preserve">MARCHÉ PUBLIC - APPEL D’OFFRES</w:t>
      </w:r>
    </w:p>
    <w:bookmarkStart w:id="9" w:name="Xf1dcd508b625c12f9c813196fccb6e506759dc8"/>
    <w:p>
      <w:pPr>
        <w:pStyle w:val="Heading2"/>
      </w:pPr>
      <w:r>
        <w:t xml:space="preserve">FOURNITURE ET INSTALLATION DE MOBILIER DE BUREAU</w:t>
      </w:r>
    </w:p>
    <w:p>
      <w:pPr>
        <w:pStyle w:val="FirstParagraph"/>
      </w:pPr>
      <w:r>
        <w:rPr>
          <w:b/>
          <w:bCs/>
        </w:rPr>
        <w:t xml:space="preserve">Collectivité Acheteur:</w:t>
      </w:r>
      <w:r>
        <w:t xml:space="preserve"> </w:t>
      </w:r>
      <w:r>
        <w:t xml:space="preserve">Commune de Versailles</w:t>
      </w:r>
      <w:r>
        <w:t xml:space="preserve"> </w:t>
      </w:r>
      <w:r>
        <w:rPr>
          <w:b/>
          <w:bCs/>
        </w:rPr>
        <w:t xml:space="preserve">Date de Publication:</w:t>
      </w:r>
      <w:r>
        <w:t xml:space="preserve"> </w:t>
      </w:r>
      <w:r>
        <w:t xml:space="preserve">1er février 2024</w:t>
      </w:r>
      <w:r>
        <w:t xml:space="preserve"> </w:t>
      </w:r>
      <w:r>
        <w:rPr>
          <w:b/>
          <w:bCs/>
        </w:rPr>
        <w:t xml:space="preserve">Date Limite de Remise des Offres:</w:t>
      </w:r>
      <w:r>
        <w:t xml:space="preserve"> </w:t>
      </w:r>
      <w:r>
        <w:t xml:space="preserve">15 mars 2024</w:t>
      </w:r>
    </w:p>
    <w:p>
      <w:r>
        <w:pict>
          <v:rect style="width:0;height:1.5pt" o:hralign="center" o:hrstd="t" o:hr="t"/>
        </w:pict>
      </w:r>
    </w:p>
    <w:bookmarkEnd w:id="9"/>
    <w:bookmarkStart w:id="16" w:name="description-du-besoin"/>
    <w:p>
      <w:pPr>
        <w:pStyle w:val="Heading2"/>
      </w:pPr>
      <w:r>
        <w:t xml:space="preserve">1. DESCRIPTION DU BESOIN</w:t>
      </w:r>
    </w:p>
    <w:bookmarkStart w:id="10" w:name="objet-du-marché"/>
    <w:p>
      <w:pPr>
        <w:pStyle w:val="Heading3"/>
      </w:pPr>
      <w:r>
        <w:t xml:space="preserve">1.1 Objet du Marché</w:t>
      </w:r>
    </w:p>
    <w:p>
      <w:pPr>
        <w:pStyle w:val="FirstParagraph"/>
      </w:pPr>
      <w:r>
        <w:t xml:space="preserve">La Commune de Versailles recherche un prestataire pour:</w:t>
      </w:r>
      <w:r>
        <w:t xml:space="preserve"> </w:t>
      </w:r>
      <w:r>
        <w:t xml:space="preserve">- Fourniture de 200 chaises ergonomiques</w:t>
      </w:r>
      <w:r>
        <w:t xml:space="preserve"> </w:t>
      </w:r>
      <w:r>
        <w:t xml:space="preserve">- Fourniture de 100 bureaux modulables</w:t>
      </w:r>
      <w:r>
        <w:t xml:space="preserve"> </w:t>
      </w:r>
      <w:r>
        <w:t xml:space="preserve">- Fourniture de 50 étagères de rangement</w:t>
      </w:r>
      <w:r>
        <w:t xml:space="preserve"> </w:t>
      </w:r>
      <w:r>
        <w:t xml:space="preserve">- Livraison et installation complète</w:t>
      </w:r>
      <w:r>
        <w:t xml:space="preserve"> </w:t>
      </w:r>
      <w:r>
        <w:t xml:space="preserve">- Formation du personnel</w:t>
      </w:r>
    </w:p>
    <w:bookmarkEnd w:id="10"/>
    <w:bookmarkStart w:id="14" w:name="quantités-et-spécifications"/>
    <w:p>
      <w:pPr>
        <w:pStyle w:val="Heading3"/>
      </w:pPr>
      <w:r>
        <w:t xml:space="preserve">1.2 Quantités et Spécifications</w:t>
      </w:r>
    </w:p>
    <w:bookmarkStart w:id="11" w:name="chaises-ergonomiques"/>
    <w:p>
      <w:pPr>
        <w:pStyle w:val="Heading4"/>
      </w:pPr>
      <w:r>
        <w:t xml:space="preserve">Chaises Ergonomiques:</w:t>
      </w:r>
    </w:p>
    <w:p>
      <w:pPr>
        <w:pStyle w:val="Compact"/>
        <w:numPr>
          <w:ilvl w:val="0"/>
          <w:numId w:val="1001"/>
        </w:numPr>
      </w:pPr>
      <w:r>
        <w:t xml:space="preserve">Quantité: 200 unités</w:t>
      </w:r>
    </w:p>
    <w:p>
      <w:pPr>
        <w:pStyle w:val="Compact"/>
        <w:numPr>
          <w:ilvl w:val="0"/>
          <w:numId w:val="1001"/>
        </w:numPr>
      </w:pPr>
      <w:r>
        <w:t xml:space="preserve">Caractéristiques: hauteur ajustable, support dorsal, roulettes</w:t>
      </w:r>
    </w:p>
    <w:p>
      <w:pPr>
        <w:pStyle w:val="Compact"/>
        <w:numPr>
          <w:ilvl w:val="0"/>
          <w:numId w:val="1001"/>
        </w:numPr>
      </w:pPr>
      <w:r>
        <w:t xml:space="preserve">Couleur: noir ou gris</w:t>
      </w:r>
    </w:p>
    <w:p>
      <w:pPr>
        <w:pStyle w:val="Compact"/>
        <w:numPr>
          <w:ilvl w:val="0"/>
          <w:numId w:val="1001"/>
        </w:numPr>
      </w:pPr>
      <w:r>
        <w:t xml:space="preserve">Garantie: 5 ans minimum</w:t>
      </w:r>
    </w:p>
    <w:bookmarkEnd w:id="11"/>
    <w:bookmarkStart w:id="12" w:name="bureaux-modulables"/>
    <w:p>
      <w:pPr>
        <w:pStyle w:val="Heading4"/>
      </w:pPr>
      <w:r>
        <w:t xml:space="preserve">Bureaux Modulables:</w:t>
      </w:r>
    </w:p>
    <w:p>
      <w:pPr>
        <w:pStyle w:val="Compact"/>
        <w:numPr>
          <w:ilvl w:val="0"/>
          <w:numId w:val="1002"/>
        </w:numPr>
      </w:pPr>
      <w:r>
        <w:t xml:space="preserve">Quantité: 100 unités</w:t>
      </w:r>
    </w:p>
    <w:p>
      <w:pPr>
        <w:pStyle w:val="Compact"/>
        <w:numPr>
          <w:ilvl w:val="0"/>
          <w:numId w:val="1002"/>
        </w:numPr>
      </w:pPr>
      <w:r>
        <w:t xml:space="preserve">Dimensions: 1.6m x 0.8m</w:t>
      </w:r>
    </w:p>
    <w:p>
      <w:pPr>
        <w:pStyle w:val="Compact"/>
        <w:numPr>
          <w:ilvl w:val="0"/>
          <w:numId w:val="1002"/>
        </w:numPr>
      </w:pPr>
      <w:r>
        <w:t xml:space="preserve">Matériau: bois aggloméré ou MDF</w:t>
      </w:r>
    </w:p>
    <w:p>
      <w:pPr>
        <w:pStyle w:val="Compact"/>
        <w:numPr>
          <w:ilvl w:val="0"/>
          <w:numId w:val="1002"/>
        </w:numPr>
      </w:pPr>
      <w:r>
        <w:t xml:space="preserve">Avec câblage discret pour électricité et réseau</w:t>
      </w:r>
    </w:p>
    <w:p>
      <w:pPr>
        <w:pStyle w:val="Compact"/>
        <w:numPr>
          <w:ilvl w:val="0"/>
          <w:numId w:val="1002"/>
        </w:numPr>
      </w:pPr>
      <w:r>
        <w:t xml:space="preserve">Garantie: 5 ans</w:t>
      </w:r>
    </w:p>
    <w:bookmarkEnd w:id="12"/>
    <w:bookmarkStart w:id="13" w:name="étagères-de-rangement"/>
    <w:p>
      <w:pPr>
        <w:pStyle w:val="Heading4"/>
      </w:pPr>
      <w:r>
        <w:t xml:space="preserve">Étagères de Rangement:</w:t>
      </w:r>
    </w:p>
    <w:p>
      <w:pPr>
        <w:pStyle w:val="Compact"/>
        <w:numPr>
          <w:ilvl w:val="0"/>
          <w:numId w:val="1003"/>
        </w:numPr>
      </w:pPr>
      <w:r>
        <w:t xml:space="preserve">Quantité: 50 unités</w:t>
      </w:r>
    </w:p>
    <w:p>
      <w:pPr>
        <w:pStyle w:val="Compact"/>
        <w:numPr>
          <w:ilvl w:val="0"/>
          <w:numId w:val="1003"/>
        </w:numPr>
      </w:pPr>
      <w:r>
        <w:t xml:space="preserve">Hauteur: 2m, 5 étagères</w:t>
      </w:r>
    </w:p>
    <w:p>
      <w:pPr>
        <w:pStyle w:val="Compact"/>
        <w:numPr>
          <w:ilvl w:val="0"/>
          <w:numId w:val="1003"/>
        </w:numPr>
      </w:pPr>
      <w:r>
        <w:t xml:space="preserve">Charge maximale: 50kg par étagère</w:t>
      </w:r>
    </w:p>
    <w:p>
      <w:pPr>
        <w:pStyle w:val="Compact"/>
        <w:numPr>
          <w:ilvl w:val="0"/>
          <w:numId w:val="1003"/>
        </w:numPr>
      </w:pPr>
      <w:r>
        <w:t xml:space="preserve">Assemblage sur site</w:t>
      </w:r>
    </w:p>
    <w:bookmarkEnd w:id="13"/>
    <w:bookmarkEnd w:id="14"/>
    <w:bookmarkStart w:id="15" w:name="délai-global"/>
    <w:p>
      <w:pPr>
        <w:pStyle w:val="Heading3"/>
      </w:pPr>
      <w:r>
        <w:t xml:space="preserve">1.3 Délai Global</w:t>
      </w:r>
    </w:p>
    <w:p>
      <w:pPr>
        <w:pStyle w:val="Compact"/>
        <w:numPr>
          <w:ilvl w:val="0"/>
          <w:numId w:val="1004"/>
        </w:numPr>
      </w:pPr>
      <w:r>
        <w:t xml:space="preserve">Livraison: 90 jours maximum après notification du marché</w:t>
      </w:r>
    </w:p>
    <w:p>
      <w:pPr>
        <w:pStyle w:val="Compact"/>
        <w:numPr>
          <w:ilvl w:val="0"/>
          <w:numId w:val="1004"/>
        </w:numPr>
      </w:pPr>
      <w:r>
        <w:t xml:space="preserve">Installation: 15 jours</w:t>
      </w:r>
    </w:p>
    <w:p>
      <w:pPr>
        <w:pStyle w:val="Compact"/>
        <w:numPr>
          <w:ilvl w:val="0"/>
          <w:numId w:val="1004"/>
        </w:numPr>
      </w:pPr>
      <w:r>
        <w:t xml:space="preserve">Formation: dans les 7 jours suivant l’installation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conditions-de-participation"/>
    <w:p>
      <w:pPr>
        <w:pStyle w:val="Heading2"/>
      </w:pPr>
      <w:r>
        <w:t xml:space="preserve">2. CONDITIONS DE PARTICIPATION</w:t>
      </w:r>
    </w:p>
    <w:bookmarkStart w:id="17" w:name="critères-dadmissibilité"/>
    <w:p>
      <w:pPr>
        <w:pStyle w:val="Heading3"/>
      </w:pPr>
      <w:r>
        <w:t xml:space="preserve">2.1 Critères d’Admissibilité</w:t>
      </w:r>
    </w:p>
    <w:p>
      <w:pPr>
        <w:pStyle w:val="Compact"/>
        <w:numPr>
          <w:ilvl w:val="0"/>
          <w:numId w:val="1005"/>
        </w:numPr>
      </w:pPr>
      <w:r>
        <w:t xml:space="preserve">Entreprise établie en France, UE ou pays assimilés</w:t>
      </w:r>
    </w:p>
    <w:p>
      <w:pPr>
        <w:pStyle w:val="Compact"/>
        <w:numPr>
          <w:ilvl w:val="0"/>
          <w:numId w:val="1005"/>
        </w:numPr>
      </w:pPr>
      <w:r>
        <w:t xml:space="preserve">Capital social minimum: 100 000 €</w:t>
      </w:r>
    </w:p>
    <w:p>
      <w:pPr>
        <w:pStyle w:val="Compact"/>
        <w:numPr>
          <w:ilvl w:val="0"/>
          <w:numId w:val="1005"/>
        </w:numPr>
      </w:pPr>
      <w:r>
        <w:t xml:space="preserve">Chiffre d’affaires annuel minimum: 500 000 € (2 dernières années)</w:t>
      </w:r>
    </w:p>
    <w:p>
      <w:pPr>
        <w:pStyle w:val="Compact"/>
        <w:numPr>
          <w:ilvl w:val="0"/>
          <w:numId w:val="1005"/>
        </w:numPr>
      </w:pPr>
      <w:r>
        <w:t xml:space="preserve">Références: au moins 3 marchés similaires dans les 3 dernières années</w:t>
      </w:r>
    </w:p>
    <w:bookmarkEnd w:id="17"/>
    <w:bookmarkStart w:id="18" w:name="documents-à-fournir"/>
    <w:p>
      <w:pPr>
        <w:pStyle w:val="Heading3"/>
      </w:pPr>
      <w:r>
        <w:t xml:space="preserve">2.2 Documents à Fournir</w:t>
      </w:r>
    </w:p>
    <w:p>
      <w:pPr>
        <w:pStyle w:val="Compact"/>
        <w:numPr>
          <w:ilvl w:val="0"/>
          <w:numId w:val="1006"/>
        </w:numPr>
      </w:pPr>
      <w:r>
        <w:t xml:space="preserve">Dossier administratif complété</w:t>
      </w:r>
    </w:p>
    <w:p>
      <w:pPr>
        <w:pStyle w:val="Compact"/>
        <w:numPr>
          <w:ilvl w:val="0"/>
          <w:numId w:val="1006"/>
        </w:numPr>
      </w:pPr>
      <w:r>
        <w:t xml:space="preserve">Références de clients</w:t>
      </w:r>
    </w:p>
    <w:p>
      <w:pPr>
        <w:pStyle w:val="Compact"/>
        <w:numPr>
          <w:ilvl w:val="0"/>
          <w:numId w:val="1006"/>
        </w:numPr>
      </w:pPr>
      <w:r>
        <w:t xml:space="preserve">Attestations d’assurance</w:t>
      </w:r>
    </w:p>
    <w:p>
      <w:pPr>
        <w:pStyle w:val="Compact"/>
        <w:numPr>
          <w:ilvl w:val="0"/>
          <w:numId w:val="1006"/>
        </w:numPr>
      </w:pPr>
      <w:r>
        <w:t xml:space="preserve">Certificats de conformité des produits</w:t>
      </w:r>
    </w:p>
    <w:p>
      <w:pPr>
        <w:pStyle w:val="Compact"/>
        <w:numPr>
          <w:ilvl w:val="0"/>
          <w:numId w:val="1006"/>
        </w:numPr>
      </w:pPr>
      <w:r>
        <w:t xml:space="preserve">Devis détaillé avec conditions commerciales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critères-dévaluation"/>
    <w:p>
      <w:pPr>
        <w:pStyle w:val="Heading2"/>
      </w:pPr>
      <w:r>
        <w:t xml:space="preserve">3. CRITÈRES D’ÉVALUATION</w:t>
      </w:r>
    </w:p>
    <w:bookmarkStart w:id="20" w:name="critères-de-sélection"/>
    <w:p>
      <w:pPr>
        <w:pStyle w:val="Heading3"/>
      </w:pPr>
      <w:r>
        <w:t xml:space="preserve">3.1 Critères de Sélection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Prix global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Qualité des produits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Délais de livraison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après-vente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Références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bookmarkEnd w:id="20"/>
    <w:bookmarkStart w:id="21" w:name="évaluation-du-prix"/>
    <w:p>
      <w:pPr>
        <w:pStyle w:val="Heading3"/>
      </w:pPr>
      <w:r>
        <w:t xml:space="preserve">3.2 Évaluation du Prix</w:t>
      </w:r>
    </w:p>
    <w:p>
      <w:pPr>
        <w:pStyle w:val="Compact"/>
        <w:numPr>
          <w:ilvl w:val="0"/>
          <w:numId w:val="1007"/>
        </w:numPr>
      </w:pPr>
      <w:r>
        <w:t xml:space="preserve">Prix total H.T. sans dépassement du budget maximum: 150 000 €</w:t>
      </w:r>
    </w:p>
    <w:p>
      <w:pPr>
        <w:pStyle w:val="Compact"/>
        <w:numPr>
          <w:ilvl w:val="0"/>
          <w:numId w:val="1007"/>
        </w:numPr>
      </w:pPr>
      <w:r>
        <w:t xml:space="preserve">Frais de port inclus</w:t>
      </w:r>
    </w:p>
    <w:p>
      <w:pPr>
        <w:pStyle w:val="Compact"/>
        <w:numPr>
          <w:ilvl w:val="0"/>
          <w:numId w:val="1007"/>
        </w:numPr>
      </w:pPr>
      <w:r>
        <w:t xml:space="preserve">Garantie incluse pendant 5 ans</w:t>
      </w:r>
    </w:p>
    <w:p>
      <w:pPr>
        <w:pStyle w:val="Compact"/>
        <w:numPr>
          <w:ilvl w:val="0"/>
          <w:numId w:val="1007"/>
        </w:numPr>
      </w:pPr>
      <w:r>
        <w:t xml:space="preserve">Maintenance incluse la première année</w:t>
      </w:r>
    </w:p>
    <w:bookmarkEnd w:id="21"/>
    <w:bookmarkStart w:id="22" w:name="évaluation-de-la-qualité"/>
    <w:p>
      <w:pPr>
        <w:pStyle w:val="Heading3"/>
      </w:pPr>
      <w:r>
        <w:t xml:space="preserve">3.3 Évaluation de la Qualité</w:t>
      </w:r>
    </w:p>
    <w:p>
      <w:pPr>
        <w:pStyle w:val="Compact"/>
        <w:numPr>
          <w:ilvl w:val="0"/>
          <w:numId w:val="1008"/>
        </w:numPr>
      </w:pPr>
      <w:r>
        <w:t xml:space="preserve">Certifications ISO 9001, ISO 14001</w:t>
      </w:r>
    </w:p>
    <w:p>
      <w:pPr>
        <w:pStyle w:val="Compact"/>
        <w:numPr>
          <w:ilvl w:val="0"/>
          <w:numId w:val="1008"/>
        </w:numPr>
      </w:pPr>
      <w:r>
        <w:t xml:space="preserve">Labels environnementaux (Ecolabel, FSC)</w:t>
      </w:r>
    </w:p>
    <w:p>
      <w:pPr>
        <w:pStyle w:val="Compact"/>
        <w:numPr>
          <w:ilvl w:val="0"/>
          <w:numId w:val="1008"/>
        </w:numPr>
      </w:pPr>
      <w:r>
        <w:t xml:space="preserve">Conformité aux normes de sécurité (EN 527-1, EN 1335-1)</w:t>
      </w:r>
    </w:p>
    <w:bookmarkEnd w:id="22"/>
    <w:bookmarkStart w:id="23" w:name="service-après-vente"/>
    <w:p>
      <w:pPr>
        <w:pStyle w:val="Heading3"/>
      </w:pPr>
      <w:r>
        <w:t xml:space="preserve">3.4 Service Après-Vente</w:t>
      </w:r>
    </w:p>
    <w:p>
      <w:pPr>
        <w:pStyle w:val="Compact"/>
        <w:numPr>
          <w:ilvl w:val="0"/>
          <w:numId w:val="1009"/>
        </w:numPr>
      </w:pPr>
      <w:r>
        <w:t xml:space="preserve">Disponibilité locale en Île-de-France</w:t>
      </w:r>
    </w:p>
    <w:p>
      <w:pPr>
        <w:pStyle w:val="Compact"/>
        <w:numPr>
          <w:ilvl w:val="0"/>
          <w:numId w:val="1009"/>
        </w:numPr>
      </w:pPr>
      <w:r>
        <w:t xml:space="preserve">Délai d’intervention: 48h maximum</w:t>
      </w:r>
    </w:p>
    <w:p>
      <w:pPr>
        <w:pStyle w:val="Compact"/>
        <w:numPr>
          <w:ilvl w:val="0"/>
          <w:numId w:val="1009"/>
        </w:numPr>
      </w:pPr>
      <w:r>
        <w:t xml:space="preserve">Formation du personnel: minimum 4 heures</w:t>
      </w:r>
    </w:p>
    <w:p>
      <w:pPr>
        <w:pStyle w:val="Compact"/>
        <w:numPr>
          <w:ilvl w:val="0"/>
          <w:numId w:val="1009"/>
        </w:numPr>
      </w:pPr>
      <w:r>
        <w:t xml:space="preserve">Hotline support: 5j/semaine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rix-et-conditions-de-paiement"/>
    <w:p>
      <w:pPr>
        <w:pStyle w:val="Heading2"/>
      </w:pPr>
      <w:r>
        <w:t xml:space="preserve">4. PRIX ET CONDITIONS DE PAIEMENT</w:t>
      </w:r>
    </w:p>
    <w:bookmarkStart w:id="25" w:name="prix"/>
    <w:p>
      <w:pPr>
        <w:pStyle w:val="Heading3"/>
      </w:pPr>
      <w:r>
        <w:t xml:space="preserve">4.1 Prix</w:t>
      </w:r>
    </w:p>
    <w:p>
      <w:pPr>
        <w:pStyle w:val="FirstParagraph"/>
      </w:pPr>
      <w:r>
        <w:t xml:space="preserve">Prix global et forfaitaire: à déterminer par l’offrant</w:t>
      </w:r>
    </w:p>
    <w:p>
      <w:pPr>
        <w:pStyle w:val="BodyText"/>
      </w:pPr>
      <w:r>
        <w:t xml:space="preserve">Maximum accepté: 150 000 € HT</w:t>
      </w:r>
    </w:p>
    <w:bookmarkEnd w:id="25"/>
    <w:bookmarkStart w:id="26" w:name="décomposition-indicative"/>
    <w:p>
      <w:pPr>
        <w:pStyle w:val="Heading3"/>
      </w:pPr>
      <w:r>
        <w:t xml:space="preserve">4.2 Décomposition Indicative</w:t>
      </w:r>
    </w:p>
    <w:p>
      <w:pPr>
        <w:pStyle w:val="Compact"/>
        <w:numPr>
          <w:ilvl w:val="0"/>
          <w:numId w:val="1010"/>
        </w:numPr>
      </w:pPr>
      <w:r>
        <w:t xml:space="preserve">Chaises (200 × prix unitaire): ???</w:t>
      </w:r>
    </w:p>
    <w:p>
      <w:pPr>
        <w:pStyle w:val="Compact"/>
        <w:numPr>
          <w:ilvl w:val="0"/>
          <w:numId w:val="1010"/>
        </w:numPr>
      </w:pPr>
      <w:r>
        <w:t xml:space="preserve">Bureaux (100 × prix unitaire): ???</w:t>
      </w:r>
    </w:p>
    <w:p>
      <w:pPr>
        <w:pStyle w:val="Compact"/>
        <w:numPr>
          <w:ilvl w:val="0"/>
          <w:numId w:val="1010"/>
        </w:numPr>
      </w:pPr>
      <w:r>
        <w:t xml:space="preserve">Étagères (50 × prix unitaire): ???</w:t>
      </w:r>
    </w:p>
    <w:p>
      <w:pPr>
        <w:pStyle w:val="Compact"/>
        <w:numPr>
          <w:ilvl w:val="0"/>
          <w:numId w:val="1010"/>
        </w:numPr>
      </w:pPr>
      <w:r>
        <w:t xml:space="preserve">Livraison: ???</w:t>
      </w:r>
    </w:p>
    <w:p>
      <w:pPr>
        <w:pStyle w:val="Compact"/>
        <w:numPr>
          <w:ilvl w:val="0"/>
          <w:numId w:val="1010"/>
        </w:numPr>
      </w:pPr>
      <w:r>
        <w:t xml:space="preserve">Installation: ???</w:t>
      </w:r>
    </w:p>
    <w:p>
      <w:pPr>
        <w:pStyle w:val="Compact"/>
        <w:numPr>
          <w:ilvl w:val="0"/>
          <w:numId w:val="1010"/>
        </w:numPr>
      </w:pPr>
      <w:r>
        <w:t xml:space="preserve">Formation: ???</w:t>
      </w:r>
    </w:p>
    <w:p>
      <w:pPr>
        <w:pStyle w:val="Compact"/>
        <w:numPr>
          <w:ilvl w:val="0"/>
          <w:numId w:val="1010"/>
        </w:numPr>
      </w:pPr>
      <w:r>
        <w:t xml:space="preserve">Total H.T.: ???</w:t>
      </w:r>
    </w:p>
    <w:bookmarkEnd w:id="26"/>
    <w:bookmarkStart w:id="27" w:name="modalités-de-paiement"/>
    <w:p>
      <w:pPr>
        <w:pStyle w:val="Heading3"/>
      </w:pPr>
      <w:r>
        <w:t xml:space="preserve">4.3 Modalités de Paiement</w:t>
      </w:r>
    </w:p>
    <w:p>
      <w:pPr>
        <w:pStyle w:val="Compact"/>
        <w:numPr>
          <w:ilvl w:val="0"/>
          <w:numId w:val="1011"/>
        </w:numPr>
      </w:pPr>
      <w:r>
        <w:t xml:space="preserve">30% à la signature du marché</w:t>
      </w:r>
    </w:p>
    <w:p>
      <w:pPr>
        <w:pStyle w:val="Compact"/>
        <w:numPr>
          <w:ilvl w:val="0"/>
          <w:numId w:val="1011"/>
        </w:numPr>
      </w:pPr>
      <w:r>
        <w:t xml:space="preserve">40% à la livraison complète</w:t>
      </w:r>
    </w:p>
    <w:p>
      <w:pPr>
        <w:pStyle w:val="Compact"/>
        <w:numPr>
          <w:ilvl w:val="0"/>
          <w:numId w:val="1011"/>
        </w:numPr>
      </w:pPr>
      <w:r>
        <w:t xml:space="preserve">30% après installation et réception</w:t>
      </w:r>
    </w:p>
    <w:p>
      <w:pPr>
        <w:pStyle w:val="FirstParagraph"/>
      </w:pPr>
      <w:r>
        <w:t xml:space="preserve">Facturation selon les jalons réalisés.</w:t>
      </w:r>
      <w:r>
        <w:t xml:space="preserve"> </w:t>
      </w:r>
      <w:r>
        <w:t xml:space="preserve">TVA applicable: 20%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élais-et-pénalités"/>
    <w:p>
      <w:pPr>
        <w:pStyle w:val="Heading2"/>
      </w:pPr>
      <w:r>
        <w:t xml:space="preserve">5. DÉLAIS ET PÉNALITÉS</w:t>
      </w:r>
    </w:p>
    <w:bookmarkStart w:id="29" w:name="jalons-essentiels"/>
    <w:p>
      <w:pPr>
        <w:pStyle w:val="Heading3"/>
      </w:pPr>
      <w:r>
        <w:t xml:space="preserve">5.1 Jalons Essentiels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Validation des produits:</w:t>
      </w:r>
      <w:r>
        <w:t xml:space="preserve"> </w:t>
      </w:r>
      <w:r>
        <w:t xml:space="preserve">J+15 (depuis notification)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Préparation livraison:</w:t>
      </w:r>
      <w:r>
        <w:t xml:space="preserve"> </w:t>
      </w:r>
      <w:r>
        <w:t xml:space="preserve">J+45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Livraison site:</w:t>
      </w:r>
      <w:r>
        <w:t xml:space="preserve"> </w:t>
      </w:r>
      <w:r>
        <w:t xml:space="preserve">J+90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Installation complète:</w:t>
      </w:r>
      <w:r>
        <w:t xml:space="preserve"> </w:t>
      </w:r>
      <w:r>
        <w:t xml:space="preserve">J+105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Formation:</w:t>
      </w:r>
      <w:r>
        <w:t xml:space="preserve"> </w:t>
      </w:r>
      <w:r>
        <w:t xml:space="preserve">J+112</w:t>
      </w:r>
    </w:p>
    <w:bookmarkEnd w:id="29"/>
    <w:bookmarkStart w:id="30" w:name="pénalités-de-retard"/>
    <w:p>
      <w:pPr>
        <w:pStyle w:val="Heading3"/>
      </w:pPr>
      <w:r>
        <w:t xml:space="preserve">5.2 Pénalités de Retard</w:t>
      </w:r>
    </w:p>
    <w:p>
      <w:pPr>
        <w:pStyle w:val="FirstParagraph"/>
      </w:pPr>
      <w:r>
        <w:t xml:space="preserve">En cas de non-respect des délais:</w:t>
      </w:r>
      <w:r>
        <w:t xml:space="preserve"> </w:t>
      </w:r>
      <w:r>
        <w:t xml:space="preserve">- Retard 1-14 jours: 0,5% du montant par jour</w:t>
      </w:r>
      <w:r>
        <w:t xml:space="preserve"> </w:t>
      </w:r>
      <w:r>
        <w:t xml:space="preserve">- Retard 15-30 jours: 0,75% du montant par jour</w:t>
      </w:r>
      <w:r>
        <w:t xml:space="preserve"> </w:t>
      </w:r>
      <w:r>
        <w:t xml:space="preserve">- Retard &gt; 30 jours: 1% du montant par jour</w:t>
      </w:r>
      <w:r>
        <w:t xml:space="preserve"> </w:t>
      </w:r>
      <w:r>
        <w:t xml:space="preserve">- Maximum: 10% du montant total (15 000 €)</w:t>
      </w:r>
    </w:p>
    <w:bookmarkEnd w:id="30"/>
    <w:bookmarkStart w:id="31" w:name="résiliation-pour-retard"/>
    <w:p>
      <w:pPr>
        <w:pStyle w:val="Heading3"/>
      </w:pPr>
      <w:r>
        <w:t xml:space="preserve">5.3 Résiliation pour Retard</w:t>
      </w:r>
    </w:p>
    <w:p>
      <w:pPr>
        <w:pStyle w:val="FirstParagraph"/>
      </w:pPr>
      <w:r>
        <w:t xml:space="preserve">Si retard &gt; 45 jours, la Commune peut résilier et commander auprès d’un concurrent.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obligations-de-lentreprise"/>
    <w:p>
      <w:pPr>
        <w:pStyle w:val="Heading2"/>
      </w:pPr>
      <w:r>
        <w:t xml:space="preserve">6. OBLIGATIONS DE L’ENTREPRISE</w:t>
      </w:r>
    </w:p>
    <w:bookmarkStart w:id="33" w:name="avant-livraison"/>
    <w:p>
      <w:pPr>
        <w:pStyle w:val="Heading3"/>
      </w:pPr>
      <w:r>
        <w:t xml:space="preserve">6.1 Avant Livraison</w:t>
      </w:r>
    </w:p>
    <w:p>
      <w:pPr>
        <w:pStyle w:val="Compact"/>
        <w:numPr>
          <w:ilvl w:val="0"/>
          <w:numId w:val="1013"/>
        </w:numPr>
      </w:pPr>
      <w:r>
        <w:t xml:space="preserve">Confirmation écrite des références produits</w:t>
      </w:r>
    </w:p>
    <w:p>
      <w:pPr>
        <w:pStyle w:val="Compact"/>
        <w:numPr>
          <w:ilvl w:val="0"/>
          <w:numId w:val="1013"/>
        </w:numPr>
      </w:pPr>
      <w:r>
        <w:t xml:space="preserve">Certificats de conformité CE</w:t>
      </w:r>
    </w:p>
    <w:p>
      <w:pPr>
        <w:pStyle w:val="Compact"/>
        <w:numPr>
          <w:ilvl w:val="0"/>
          <w:numId w:val="1013"/>
        </w:numPr>
      </w:pPr>
      <w:r>
        <w:t xml:space="preserve">Plans de livraison et installation</w:t>
      </w:r>
    </w:p>
    <w:p>
      <w:pPr>
        <w:pStyle w:val="Compact"/>
        <w:numPr>
          <w:ilvl w:val="0"/>
          <w:numId w:val="1013"/>
        </w:numPr>
      </w:pPr>
      <w:r>
        <w:t xml:space="preserve">Assurance tous risques transport</w:t>
      </w:r>
    </w:p>
    <w:bookmarkEnd w:id="33"/>
    <w:bookmarkStart w:id="34" w:name="lors-de-la-livraison"/>
    <w:p>
      <w:pPr>
        <w:pStyle w:val="Heading3"/>
      </w:pPr>
      <w:r>
        <w:t xml:space="preserve">6.2 Lors de la Livraison</w:t>
      </w:r>
    </w:p>
    <w:p>
      <w:pPr>
        <w:pStyle w:val="Compact"/>
        <w:numPr>
          <w:ilvl w:val="0"/>
          <w:numId w:val="1014"/>
        </w:numPr>
      </w:pPr>
      <w:r>
        <w:t xml:space="preserve">Livraison à l’adresse indiquée: Mairie de Versailles, 4 avenue de Paris</w:t>
      </w:r>
    </w:p>
    <w:p>
      <w:pPr>
        <w:pStyle w:val="Compact"/>
        <w:numPr>
          <w:ilvl w:val="0"/>
          <w:numId w:val="1014"/>
        </w:numPr>
      </w:pPr>
      <w:r>
        <w:t xml:space="preserve">Horaires: lundi-vendredi, 8h-17h</w:t>
      </w:r>
    </w:p>
    <w:p>
      <w:pPr>
        <w:pStyle w:val="Compact"/>
        <w:numPr>
          <w:ilvl w:val="0"/>
          <w:numId w:val="1014"/>
        </w:numPr>
      </w:pPr>
      <w:r>
        <w:t xml:space="preserve">Déballage et vérification: sur site</w:t>
      </w:r>
    </w:p>
    <w:p>
      <w:pPr>
        <w:pStyle w:val="Compact"/>
        <w:numPr>
          <w:ilvl w:val="0"/>
          <w:numId w:val="1014"/>
        </w:numPr>
      </w:pPr>
      <w:r>
        <w:t xml:space="preserve">Nettoyage complet après installation</w:t>
      </w:r>
    </w:p>
    <w:bookmarkEnd w:id="34"/>
    <w:bookmarkStart w:id="35" w:name="garanties"/>
    <w:p>
      <w:pPr>
        <w:pStyle w:val="Heading3"/>
      </w:pPr>
      <w:r>
        <w:t xml:space="preserve">6.3 Garanties</w:t>
      </w:r>
    </w:p>
    <w:p>
      <w:pPr>
        <w:pStyle w:val="Compact"/>
        <w:numPr>
          <w:ilvl w:val="0"/>
          <w:numId w:val="1015"/>
        </w:numPr>
      </w:pPr>
      <w:r>
        <w:t xml:space="preserve">5 ans pièces et main d’œuvre</w:t>
      </w:r>
    </w:p>
    <w:p>
      <w:pPr>
        <w:pStyle w:val="Compact"/>
        <w:numPr>
          <w:ilvl w:val="0"/>
          <w:numId w:val="1015"/>
        </w:numPr>
      </w:pPr>
      <w:r>
        <w:t xml:space="preserve">Remplacement gratuit des pièces défectueuses</w:t>
      </w:r>
    </w:p>
    <w:p>
      <w:pPr>
        <w:pStyle w:val="Compact"/>
        <w:numPr>
          <w:ilvl w:val="0"/>
          <w:numId w:val="1015"/>
        </w:numPr>
      </w:pPr>
      <w:r>
        <w:t xml:space="preserve">Support technique illimité pendant 3 ans</w:t>
      </w:r>
    </w:p>
    <w:p>
      <w:pPr>
        <w:pStyle w:val="Compact"/>
        <w:numPr>
          <w:ilvl w:val="0"/>
          <w:numId w:val="1015"/>
        </w:numPr>
      </w:pPr>
      <w:r>
        <w:t xml:space="preserve">Visites de maintenance: 2 fois par an (offert)</w:t>
      </w:r>
    </w:p>
    <w:bookmarkEnd w:id="35"/>
    <w:bookmarkStart w:id="36" w:name="documentation"/>
    <w:p>
      <w:pPr>
        <w:pStyle w:val="Heading3"/>
      </w:pPr>
      <w:r>
        <w:t xml:space="preserve">6.4 Documentation</w:t>
      </w:r>
    </w:p>
    <w:p>
      <w:pPr>
        <w:pStyle w:val="Compact"/>
        <w:numPr>
          <w:ilvl w:val="0"/>
          <w:numId w:val="1016"/>
        </w:numPr>
      </w:pPr>
      <w:r>
        <w:t xml:space="preserve">Manuels d’utilisation et de maintenance</w:t>
      </w:r>
    </w:p>
    <w:p>
      <w:pPr>
        <w:pStyle w:val="Compact"/>
        <w:numPr>
          <w:ilvl w:val="0"/>
          <w:numId w:val="1016"/>
        </w:numPr>
      </w:pPr>
      <w:r>
        <w:t xml:space="preserve">Plans d’assemblage</w:t>
      </w:r>
    </w:p>
    <w:p>
      <w:pPr>
        <w:pStyle w:val="Compact"/>
        <w:numPr>
          <w:ilvl w:val="0"/>
          <w:numId w:val="1016"/>
        </w:numPr>
      </w:pPr>
      <w:r>
        <w:t xml:space="preserve">Carnets de garantie</w:t>
      </w:r>
    </w:p>
    <w:p>
      <w:pPr>
        <w:pStyle w:val="Compact"/>
        <w:numPr>
          <w:ilvl w:val="0"/>
          <w:numId w:val="1016"/>
        </w:numPr>
      </w:pPr>
      <w:r>
        <w:t xml:space="preserve">Dossier technique complet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obligations-de-la-commune"/>
    <w:p>
      <w:pPr>
        <w:pStyle w:val="Heading2"/>
      </w:pPr>
      <w:r>
        <w:t xml:space="preserve">7. OBLIGATIONS DE LA COMMUNE</w:t>
      </w:r>
    </w:p>
    <w:p>
      <w:pPr>
        <w:pStyle w:val="Compact"/>
        <w:numPr>
          <w:ilvl w:val="0"/>
          <w:numId w:val="1017"/>
        </w:numPr>
      </w:pPr>
      <w:r>
        <w:t xml:space="preserve">Paiement selon les modalités définies</w:t>
      </w:r>
    </w:p>
    <w:p>
      <w:pPr>
        <w:pStyle w:val="Compact"/>
        <w:numPr>
          <w:ilvl w:val="0"/>
          <w:numId w:val="1017"/>
        </w:numPr>
      </w:pPr>
      <w:r>
        <w:t xml:space="preserve">Accès au site de livraison</w:t>
      </w:r>
    </w:p>
    <w:p>
      <w:pPr>
        <w:pStyle w:val="Compact"/>
        <w:numPr>
          <w:ilvl w:val="0"/>
          <w:numId w:val="1017"/>
        </w:numPr>
      </w:pPr>
      <w:r>
        <w:t xml:space="preserve">Préparation du site (électricité, accès)</w:t>
      </w:r>
    </w:p>
    <w:p>
      <w:pPr>
        <w:pStyle w:val="Compact"/>
        <w:numPr>
          <w:ilvl w:val="0"/>
          <w:numId w:val="1017"/>
        </w:numPr>
      </w:pPr>
      <w:r>
        <w:t xml:space="preserve">Désignation d’un responsable pour le suivi</w:t>
      </w:r>
    </w:p>
    <w:p>
      <w:r>
        <w:pict>
          <v:rect style="width:0;height:1.5pt" o:hralign="center" o:hrstd="t" o:hr="t"/>
        </w:pict>
      </w:r>
    </w:p>
    <w:bookmarkEnd w:id="38"/>
    <w:bookmarkStart w:id="39" w:name="conditions-dassurance"/>
    <w:p>
      <w:pPr>
        <w:pStyle w:val="Heading2"/>
      </w:pPr>
      <w:r>
        <w:t xml:space="preserve">8. CONDITIONS D’ASSURANCE</w:t>
      </w:r>
    </w:p>
    <w:p>
      <w:pPr>
        <w:pStyle w:val="FirstParagraph"/>
      </w:pPr>
      <w:r>
        <w:t xml:space="preserve">L’entreprise prestataire doit justifier:</w:t>
      </w:r>
    </w:p>
    <w:p>
      <w:pPr>
        <w:pStyle w:val="Compact"/>
        <w:numPr>
          <w:ilvl w:val="0"/>
          <w:numId w:val="1018"/>
        </w:numPr>
      </w:pPr>
      <w:r>
        <w:t xml:space="preserve">Assurance Responsabilité Civile: 1 000 000 € minimum</w:t>
      </w:r>
    </w:p>
    <w:p>
      <w:pPr>
        <w:pStyle w:val="Compact"/>
        <w:numPr>
          <w:ilvl w:val="0"/>
          <w:numId w:val="1018"/>
        </w:numPr>
      </w:pPr>
      <w:r>
        <w:t xml:space="preserve">Assurance Transport: tous risques</w:t>
      </w:r>
    </w:p>
    <w:p>
      <w:pPr>
        <w:pStyle w:val="Compact"/>
        <w:numPr>
          <w:ilvl w:val="0"/>
          <w:numId w:val="1018"/>
        </w:numPr>
      </w:pPr>
      <w:r>
        <w:t xml:space="preserve">Assurance Décennale: si travaux immobiliers (non applicable ici)</w:t>
      </w:r>
    </w:p>
    <w:p>
      <w:pPr>
        <w:pStyle w:val="FirstParagraph"/>
      </w:pPr>
      <w:r>
        <w:t xml:space="preserve">Attestations à fournir avant signature du marché.</w:t>
      </w:r>
    </w:p>
    <w:p>
      <w:r>
        <w:pict>
          <v:rect style="width:0;height:1.5pt" o:hralign="center" o:hrstd="t" o:hr="t"/>
        </w:pict>
      </w:r>
    </w:p>
    <w:bookmarkEnd w:id="39"/>
    <w:bookmarkStart w:id="42" w:name="résiliation"/>
    <w:p>
      <w:pPr>
        <w:pStyle w:val="Heading2"/>
      </w:pPr>
      <w:r>
        <w:t xml:space="preserve">9. RÉSILIATION</w:t>
      </w:r>
    </w:p>
    <w:bookmarkStart w:id="40" w:name="résiliation-pour-inexécution"/>
    <w:p>
      <w:pPr>
        <w:pStyle w:val="Heading3"/>
      </w:pPr>
      <w:r>
        <w:t xml:space="preserve">9.1 Résiliation pour Inexécution</w:t>
      </w:r>
    </w:p>
    <w:p>
      <w:pPr>
        <w:pStyle w:val="FirstParagraph"/>
      </w:pPr>
      <w:r>
        <w:t xml:space="preserve">La Commune peut résilier si:</w:t>
      </w:r>
      <w:r>
        <w:t xml:space="preserve"> </w:t>
      </w:r>
      <w:r>
        <w:t xml:space="preserve">- Retard &gt; 45 jours</w:t>
      </w:r>
      <w:r>
        <w:t xml:space="preserve"> </w:t>
      </w:r>
      <w:r>
        <w:t xml:space="preserve">- Non-respect des normes de qualité</w:t>
      </w:r>
      <w:r>
        <w:t xml:space="preserve"> </w:t>
      </w:r>
      <w:r>
        <w:t xml:space="preserve">- Défaut de conformité non corrigé dans les 30 jours</w:t>
      </w:r>
    </w:p>
    <w:bookmarkEnd w:id="40"/>
    <w:bookmarkStart w:id="41" w:name="compensation-financière"/>
    <w:p>
      <w:pPr>
        <w:pStyle w:val="Heading3"/>
      </w:pPr>
      <w:r>
        <w:t xml:space="preserve">9.2 Compensation Financière</w:t>
      </w:r>
    </w:p>
    <w:p>
      <w:pPr>
        <w:pStyle w:val="FirstParagraph"/>
      </w:pPr>
      <w:r>
        <w:t xml:space="preserve">En cas de résiliation:</w:t>
      </w:r>
      <w:r>
        <w:t xml:space="preserve"> </w:t>
      </w:r>
      <w:r>
        <w:t xml:space="preserve">- Travaux réalisés payés à l’amende</w:t>
      </w:r>
      <w:r>
        <w:t xml:space="preserve"> </w:t>
      </w:r>
      <w:r>
        <w:t xml:space="preserve">- Montant max: 80% du marché</w:t>
      </w:r>
      <w:r>
        <w:t xml:space="preserve"> </w:t>
      </w:r>
      <w:r>
        <w:t xml:space="preserve">- Différence d’achat auprès d’un tiers à charge du prestataire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nfidentialité-et-données"/>
    <w:p>
      <w:pPr>
        <w:pStyle w:val="Heading2"/>
      </w:pPr>
      <w:r>
        <w:t xml:space="preserve">10. CONFIDENTIALITÉ ET DONNÉES</w:t>
      </w:r>
    </w:p>
    <w:p>
      <w:pPr>
        <w:pStyle w:val="Compact"/>
        <w:numPr>
          <w:ilvl w:val="0"/>
          <w:numId w:val="1019"/>
        </w:numPr>
      </w:pPr>
      <w:r>
        <w:t xml:space="preserve">Les données personnelles collectées seront traitées conformément à la RGPD</w:t>
      </w:r>
    </w:p>
    <w:p>
      <w:pPr>
        <w:pStyle w:val="Compact"/>
        <w:numPr>
          <w:ilvl w:val="0"/>
          <w:numId w:val="1019"/>
        </w:numPr>
      </w:pPr>
      <w:r>
        <w:t xml:space="preserve">Durée de conservation: 6 ans (légale pour les marchés publics)</w:t>
      </w:r>
    </w:p>
    <w:p>
      <w:pPr>
        <w:pStyle w:val="Compact"/>
        <w:numPr>
          <w:ilvl w:val="0"/>
          <w:numId w:val="1019"/>
        </w:numPr>
      </w:pPr>
      <w:r>
        <w:t xml:space="preserve">Droit d’accès et de rectification garanti</w:t>
      </w:r>
    </w:p>
    <w:p>
      <w:r>
        <w:pict>
          <v:rect style="width:0;height:1.5pt" o:hralign="center" o:hrstd="t" o:hr="t"/>
        </w:pict>
      </w:r>
    </w:p>
    <w:bookmarkEnd w:id="43"/>
    <w:bookmarkStart w:id="44" w:name="lois-applicables"/>
    <w:p>
      <w:pPr>
        <w:pStyle w:val="Heading2"/>
      </w:pPr>
      <w:r>
        <w:t xml:space="preserve">11. LOIS APPLICABLES</w:t>
      </w:r>
    </w:p>
    <w:p>
      <w:pPr>
        <w:pStyle w:val="Compact"/>
        <w:numPr>
          <w:ilvl w:val="0"/>
          <w:numId w:val="1020"/>
        </w:numPr>
      </w:pPr>
      <w:r>
        <w:t xml:space="preserve">Loi applicable: Droit français</w:t>
      </w:r>
    </w:p>
    <w:p>
      <w:pPr>
        <w:pStyle w:val="Compact"/>
        <w:numPr>
          <w:ilvl w:val="0"/>
          <w:numId w:val="1020"/>
        </w:numPr>
      </w:pPr>
      <w:r>
        <w:t xml:space="preserve">Code des Marchés Publics</w:t>
      </w:r>
    </w:p>
    <w:p>
      <w:pPr>
        <w:pStyle w:val="Compact"/>
        <w:numPr>
          <w:ilvl w:val="0"/>
          <w:numId w:val="1020"/>
        </w:numPr>
      </w:pPr>
      <w:r>
        <w:t xml:space="preserve">Juridiction: Tribunal Administratif de Versailles</w:t>
      </w:r>
    </w:p>
    <w:p>
      <w:r>
        <w:pict>
          <v:rect style="width:0;height:1.5pt" o:hralign="center" o:hrstd="t" o:hr="t"/>
        </w:pict>
      </w:r>
    </w:p>
    <w:bookmarkEnd w:id="44"/>
    <w:bookmarkStart w:id="48" w:name="clauses-administratives"/>
    <w:p>
      <w:pPr>
        <w:pStyle w:val="Heading2"/>
      </w:pPr>
      <w:r>
        <w:t xml:space="preserve">12. CLAUSES ADMINISTRATIVES</w:t>
      </w:r>
    </w:p>
    <w:bookmarkStart w:id="45" w:name="assurance-qualité"/>
    <w:p>
      <w:pPr>
        <w:pStyle w:val="Heading3"/>
      </w:pPr>
      <w:r>
        <w:t xml:space="preserve">12.1 Assurance Qualité</w:t>
      </w:r>
    </w:p>
    <w:p>
      <w:pPr>
        <w:pStyle w:val="Compact"/>
        <w:numPr>
          <w:ilvl w:val="0"/>
          <w:numId w:val="1021"/>
        </w:numPr>
      </w:pPr>
      <w:r>
        <w:t xml:space="preserve">Norme ISO 9001 exigée</w:t>
      </w:r>
    </w:p>
    <w:p>
      <w:pPr>
        <w:pStyle w:val="Compact"/>
        <w:numPr>
          <w:ilvl w:val="0"/>
          <w:numId w:val="1021"/>
        </w:numPr>
      </w:pPr>
      <w:r>
        <w:t xml:space="preserve">Audit qualité possible avant signature</w:t>
      </w:r>
    </w:p>
    <w:bookmarkEnd w:id="45"/>
    <w:bookmarkStart w:id="46" w:name="développement-durable"/>
    <w:p>
      <w:pPr>
        <w:pStyle w:val="Heading3"/>
      </w:pPr>
      <w:r>
        <w:t xml:space="preserve">12.2 Développement Durable</w:t>
      </w:r>
    </w:p>
    <w:p>
      <w:pPr>
        <w:pStyle w:val="Compact"/>
        <w:numPr>
          <w:ilvl w:val="0"/>
          <w:numId w:val="1022"/>
        </w:numPr>
      </w:pPr>
      <w:r>
        <w:t xml:space="preserve">Obligation de respecter les normes environnementales</w:t>
      </w:r>
    </w:p>
    <w:p>
      <w:pPr>
        <w:pStyle w:val="Compact"/>
        <w:numPr>
          <w:ilvl w:val="0"/>
          <w:numId w:val="1022"/>
        </w:numPr>
      </w:pPr>
      <w:r>
        <w:t xml:space="preserve">Valorisation des offres éco-responsables (+5 points)</w:t>
      </w:r>
    </w:p>
    <w:bookmarkEnd w:id="46"/>
    <w:bookmarkStart w:id="47" w:name="lutte-anti-corruption"/>
    <w:p>
      <w:pPr>
        <w:pStyle w:val="Heading3"/>
      </w:pPr>
      <w:r>
        <w:t xml:space="preserve">12.3 Lutte Anti-Corruption</w:t>
      </w:r>
    </w:p>
    <w:p>
      <w:pPr>
        <w:pStyle w:val="FirstParagraph"/>
      </w:pPr>
      <w:r>
        <w:t xml:space="preserve">Déclaration d’absence de conflit d’intérêts obligatoire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alendrier-du-marché"/>
    <w:p>
      <w:pPr>
        <w:pStyle w:val="Heading2"/>
      </w:pPr>
      <w:r>
        <w:t xml:space="preserve">CALENDRIER DU MARCHÉ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Événement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</w:t>
            </w:r>
          </w:p>
        </w:tc>
        <w:tc>
          <w:tcPr/>
          <w:p>
            <w:pPr>
              <w:pStyle w:val="Compact"/>
            </w:pPr>
            <w:r>
              <w:t xml:space="preserve">1er février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 de remise</w:t>
            </w:r>
          </w:p>
        </w:tc>
        <w:tc>
          <w:tcPr/>
          <w:p>
            <w:pPr>
              <w:pStyle w:val="Compact"/>
            </w:pPr>
            <w:r>
              <w:t xml:space="preserve">15 mars 2024 à 14h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Ouverture des plis</w:t>
            </w:r>
          </w:p>
        </w:tc>
        <w:tc>
          <w:tcPr/>
          <w:p>
            <w:pPr>
              <w:pStyle w:val="Compact"/>
            </w:pPr>
            <w:r>
              <w:t xml:space="preserve">15 mars 2024 à 15h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Évaluation</w:t>
            </w:r>
          </w:p>
        </w:tc>
        <w:tc>
          <w:tcPr/>
          <w:p>
            <w:pPr>
              <w:pStyle w:val="Compact"/>
            </w:pPr>
            <w:r>
              <w:t xml:space="preserve">16-31 mars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du résultat</w:t>
            </w:r>
          </w:p>
        </w:tc>
        <w:tc>
          <w:tcPr/>
          <w:p>
            <w:pPr>
              <w:pStyle w:val="Compact"/>
            </w:pPr>
            <w:r>
              <w:t xml:space="preserve">5 avril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marché</w:t>
            </w:r>
          </w:p>
        </w:tc>
        <w:tc>
          <w:tcPr/>
          <w:p>
            <w:pPr>
              <w:pStyle w:val="Compact"/>
            </w:pPr>
            <w:r>
              <w:t xml:space="preserve">15 avril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au prestataire</w:t>
            </w:r>
          </w:p>
        </w:tc>
        <w:tc>
          <w:tcPr/>
          <w:p>
            <w:pPr>
              <w:pStyle w:val="Compact"/>
            </w:pPr>
            <w:r>
              <w:t xml:space="preserve">20 avril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Commencement livraison</w:t>
            </w:r>
          </w:p>
        </w:tc>
        <w:tc>
          <w:tcPr/>
          <w:p>
            <w:pPr>
              <w:pStyle w:val="Compact"/>
            </w:pPr>
            <w:r>
              <w:t xml:space="preserve">20 mai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 livraison</w:t>
            </w:r>
          </w:p>
        </w:tc>
        <w:tc>
          <w:tcPr/>
          <w:p>
            <w:pPr>
              <w:pStyle w:val="Compact"/>
            </w:pPr>
            <w:r>
              <w:t xml:space="preserve">20 août 2024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Commune de Versailles</w:t>
      </w:r>
      <w:r>
        <w:t xml:space="preserve"> </w:t>
      </w:r>
      <w:r>
        <w:t xml:space="preserve">Signature: ________________</w:t>
      </w:r>
      <w:r>
        <w:t xml:space="preserve"> </w:t>
      </w:r>
      <w:r>
        <w:t xml:space="preserve">Date: ________________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2026-06-07T03:21:09Z</dcterms:created>
  <dcterms:modified xsi:type="dcterms:W3CDTF">2026-06-07T03:21:09Z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